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30D71" w14:textId="375FAD13" w:rsidR="00AD1277" w:rsidRPr="00AD1277" w:rsidRDefault="005E4D1F" w:rsidP="00305C1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highlight w:val="yellow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>Анализа</w:t>
      </w:r>
      <w:r w:rsidR="00AD1277" w:rsidRPr="00AD12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>конкуренције</w:t>
      </w:r>
      <w:r w:rsidR="00AD1277" w:rsidRPr="00AD12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>у</w:t>
      </w:r>
      <w:r w:rsidR="00AD1277" w:rsidRPr="00AD12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>систему</w:t>
      </w:r>
      <w:r w:rsidR="00AD1277" w:rsidRPr="00AD12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>јавних</w:t>
      </w:r>
      <w:r w:rsidR="00AD1277" w:rsidRPr="00AD12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>набавки</w:t>
      </w:r>
      <w:r w:rsidR="00AD1277" w:rsidRPr="00AD12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>у</w:t>
      </w:r>
      <w:r w:rsidR="00AD1277" w:rsidRPr="00AD12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>Босни</w:t>
      </w:r>
      <w:r w:rsidR="00AD1277" w:rsidRPr="00AD12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>и</w:t>
      </w:r>
      <w:r w:rsidR="00AD1277" w:rsidRPr="00AD12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>Херцеговини</w:t>
      </w:r>
    </w:p>
    <w:p w14:paraId="5F30342E" w14:textId="49B86ABD" w:rsidR="0021204D" w:rsidRPr="00305C17" w:rsidRDefault="0021204D" w:rsidP="002120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pt-BR"/>
          <w14:ligatures w14:val="none"/>
        </w:rPr>
      </w:pPr>
      <w:r w:rsidRPr="00305C1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pt-BR"/>
          <w14:ligatures w14:val="none"/>
        </w:rPr>
        <w:t xml:space="preserve">1. </w:t>
      </w:r>
      <w:r w:rsidR="005E4D1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pt-BR"/>
          <w14:ligatures w14:val="none"/>
        </w:rPr>
        <w:t>Увод</w:t>
      </w:r>
    </w:p>
    <w:p w14:paraId="574EBB34" w14:textId="45B3959D" w:rsidR="0021204D" w:rsidRPr="00305C17" w:rsidRDefault="005E4D1F" w:rsidP="00524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Анализа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конкуренције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представља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један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кључних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елемената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оцјене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транспарентности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учинковитости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интегритета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система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јавних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набавки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Ниво</w:t>
      </w:r>
      <w:r w:rsidR="0021204D" w:rsidRPr="00305C17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конкуренције</w:t>
      </w:r>
      <w:r w:rsidR="0021204D" w:rsidRPr="00305C17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директно</w:t>
      </w:r>
      <w:r w:rsidR="0021204D" w:rsidRPr="00305C17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утиче</w:t>
      </w:r>
      <w:r w:rsidR="0021204D" w:rsidRPr="00305C17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21204D" w:rsidRPr="00305C17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02708FFD" w14:textId="63C197A3" w:rsidR="0021204D" w:rsidRPr="00BA5220" w:rsidRDefault="005E4D1F" w:rsidP="0052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цијене</w:t>
      </w:r>
      <w:r w:rsidR="0021204D" w:rsidRPr="00BA52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BA52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економичност</w:t>
      </w:r>
      <w:r w:rsidR="0021204D" w:rsidRPr="00BA52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трошења</w:t>
      </w:r>
      <w:r w:rsidR="0021204D" w:rsidRPr="00BA52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јавних</w:t>
      </w:r>
      <w:r w:rsidR="0021204D" w:rsidRPr="00BA52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средстава</w:t>
      </w:r>
      <w:r w:rsidR="0021204D" w:rsidRPr="00BA52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33508513" w14:textId="7D95B887" w:rsidR="0021204D" w:rsidRPr="00104B20" w:rsidRDefault="005E4D1F" w:rsidP="0052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квалитет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роба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услуга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радова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330DEB2B" w14:textId="688FE567" w:rsidR="0021204D" w:rsidRPr="00104B20" w:rsidRDefault="005E4D1F" w:rsidP="0052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расподјелу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тржишних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прилика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међу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понуђачима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3803A31E" w14:textId="64F00FEE" w:rsidR="0021204D" w:rsidRPr="00104B20" w:rsidRDefault="005E4D1F" w:rsidP="0052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перцепцију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јавности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раду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уговорних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органа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7E958F36" w14:textId="7C898D2D" w:rsidR="0021204D" w:rsidRPr="00104B20" w:rsidRDefault="005E4D1F" w:rsidP="00524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Овај</w:t>
      </w:r>
      <w:r w:rsidR="00305C17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дио</w:t>
      </w:r>
      <w:r w:rsidR="00305C17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анализе</w:t>
      </w:r>
      <w:r w:rsidR="00305C17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обухвата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период</w:t>
      </w:r>
      <w:r w:rsidR="0021204D" w:rsidRPr="00104B2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2022–2024.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године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фокусира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4AA3F83D" w14:textId="62FC24AA" w:rsidR="0021204D" w:rsidRPr="00104B20" w:rsidRDefault="005E4D1F" w:rsidP="005247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структуру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врстама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вриједносним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разредима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0F770C1D" w14:textId="540DEE97" w:rsidR="0021204D" w:rsidRPr="00104B20" w:rsidRDefault="005E4D1F" w:rsidP="005247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учесталост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једном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понудом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651860BE" w14:textId="5E7CD883" w:rsidR="0021204D" w:rsidRPr="00104B20" w:rsidRDefault="005E4D1F" w:rsidP="005247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територијалне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секторске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разлике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конкуренцији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7344394E" w14:textId="14BB6F1D" w:rsidR="0021204D" w:rsidRPr="00104B20" w:rsidRDefault="005E4D1F" w:rsidP="005247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концентрацију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уговора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понуђачима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уговорним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органима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1B574ED6" w14:textId="5A4444DC" w:rsidR="0021204D" w:rsidRPr="00104B20" w:rsidRDefault="005E4D1F" w:rsidP="005247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разлоге</w:t>
      </w:r>
      <w:r w:rsidR="0021204D" w:rsidRPr="00104B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поништавања</w:t>
      </w:r>
      <w:r w:rsidR="0021204D" w:rsidRPr="00104B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поступака</w:t>
      </w:r>
      <w:r w:rsidR="0021204D" w:rsidRPr="00104B20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7F7837FD" w14:textId="74C71DDB" w:rsidR="0021204D" w:rsidRPr="00FE0DD3" w:rsidRDefault="005E4D1F" w:rsidP="005247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додатне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факторе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који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утичу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конкуренцију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аукције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подјела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лотове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централизиране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трајање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процедура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1FFD9391" w14:textId="18C66473" w:rsidR="00E274AC" w:rsidRPr="00FE0DD3" w:rsidRDefault="005E4D1F" w:rsidP="00E274AC">
      <w:pPr>
        <w:pStyle w:val="xmsonormal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pt-BR"/>
        </w:rPr>
        <w:t>За</w:t>
      </w:r>
      <w:r w:rsidR="0021204D" w:rsidRPr="00FE0DD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pt-BR"/>
        </w:rPr>
        <w:t>сваку</w:t>
      </w:r>
      <w:r w:rsidR="0021204D" w:rsidRPr="00FE0DD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pt-BR"/>
        </w:rPr>
        <w:t>годину</w:t>
      </w:r>
      <w:r w:rsidR="0021204D" w:rsidRPr="00FE0DD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pt-BR"/>
        </w:rPr>
        <w:t>се</w:t>
      </w:r>
      <w:r w:rsidR="0021204D" w:rsidRPr="00FE0DD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pt-BR"/>
        </w:rPr>
        <w:t>даје</w:t>
      </w:r>
      <w:r w:rsidR="0021204D" w:rsidRPr="00FE0DD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pt-BR"/>
        </w:rPr>
        <w:t>засебна</w:t>
      </w:r>
      <w:r w:rsidR="0021204D" w:rsidRPr="00FE0DD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pt-BR"/>
        </w:rPr>
        <w:t>анализа</w:t>
      </w:r>
      <w:r w:rsidR="0021204D" w:rsidRPr="00FE0DD3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lang w:val="pt-BR"/>
        </w:rPr>
        <w:t>а</w:t>
      </w:r>
      <w:r w:rsidR="0021204D" w:rsidRPr="00FE0DD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pt-BR"/>
        </w:rPr>
        <w:t>на</w:t>
      </w:r>
      <w:r w:rsidR="0021204D" w:rsidRPr="00FE0DD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pt-BR"/>
        </w:rPr>
        <w:t>крају</w:t>
      </w:r>
      <w:r w:rsidR="0021204D" w:rsidRPr="00FE0DD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pt-BR"/>
        </w:rPr>
        <w:t>се</w:t>
      </w:r>
      <w:r w:rsidR="0021204D" w:rsidRPr="00FE0DD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pt-BR"/>
        </w:rPr>
        <w:t>изводе</w:t>
      </w:r>
      <w:r w:rsidR="0021204D" w:rsidRPr="00FE0DD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pt-BR"/>
        </w:rPr>
        <w:t>хоризонтални</w:t>
      </w:r>
      <w:r w:rsidR="0021204D" w:rsidRPr="00FE0DD3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pt-BR"/>
        </w:rPr>
        <w:t>налази</w:t>
      </w:r>
      <w:r w:rsidR="0021204D" w:rsidRPr="00FE0DD3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pt-BR"/>
        </w:rPr>
        <w:t>и</w:t>
      </w:r>
      <w:r w:rsidR="0021204D" w:rsidRPr="00FE0DD3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pt-BR"/>
        </w:rPr>
        <w:t>препоруке</w:t>
      </w:r>
      <w:r w:rsidR="0021204D" w:rsidRPr="00FE0DD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pt-BR"/>
        </w:rPr>
        <w:t>за</w:t>
      </w:r>
      <w:r w:rsidR="0021204D" w:rsidRPr="00FE0DD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pt-BR"/>
        </w:rPr>
        <w:t>развој</w:t>
      </w:r>
      <w:r w:rsidR="0021204D" w:rsidRPr="00FE0DD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pt-BR"/>
        </w:rPr>
        <w:t>конкуренције</w:t>
      </w:r>
      <w:r w:rsidR="0021204D" w:rsidRPr="00FE0DD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pt-BR"/>
        </w:rPr>
        <w:t>у</w:t>
      </w:r>
      <w:r w:rsidR="0021204D" w:rsidRPr="00FE0DD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pt-BR"/>
        </w:rPr>
        <w:t>систему</w:t>
      </w:r>
      <w:r w:rsidR="0021204D" w:rsidRPr="00FE0DD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pt-BR"/>
        </w:rPr>
        <w:t>јавних</w:t>
      </w:r>
      <w:r w:rsidR="0021204D" w:rsidRPr="00FE0DD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pt-BR"/>
        </w:rPr>
        <w:t>набавки</w:t>
      </w:r>
      <w:r w:rsidR="0021204D" w:rsidRPr="00FE0DD3">
        <w:rPr>
          <w:rFonts w:ascii="Times New Roman" w:eastAsia="Times New Roman" w:hAnsi="Times New Roman" w:cs="Times New Roman"/>
        </w:rPr>
        <w:t>.</w:t>
      </w:r>
    </w:p>
    <w:p w14:paraId="1800175F" w14:textId="77777777" w:rsidR="00E274AC" w:rsidRPr="00FE0DD3" w:rsidRDefault="00E274AC" w:rsidP="00E274AC">
      <w:pPr>
        <w:pStyle w:val="xmsonormal"/>
        <w:rPr>
          <w:rFonts w:ascii="Times New Roman" w:eastAsia="Times New Roman" w:hAnsi="Times New Roman" w:cs="Times New Roman"/>
        </w:rPr>
      </w:pPr>
    </w:p>
    <w:p w14:paraId="5B0C7CB4" w14:textId="4A2C554E" w:rsidR="00E274AC" w:rsidRPr="00FE0DD3" w:rsidRDefault="005E4D1F" w:rsidP="00FB088F">
      <w:pPr>
        <w:pStyle w:val="xmsonormal"/>
        <w:numPr>
          <w:ilvl w:val="1"/>
          <w:numId w:val="9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pt-BR"/>
        </w:rPr>
        <w:t>Општи</w:t>
      </w:r>
      <w:r w:rsidR="00E274AC" w:rsidRPr="00FE0DD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pt-BR"/>
        </w:rPr>
        <w:t>преглед</w:t>
      </w:r>
      <w:r w:rsidR="00E274AC" w:rsidRPr="00FE0DD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pt-BR"/>
        </w:rPr>
        <w:t>система</w:t>
      </w:r>
      <w:r w:rsidR="00E274AC" w:rsidRPr="00FE0DD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pt-BR"/>
        </w:rPr>
        <w:t>јавних</w:t>
      </w:r>
      <w:r w:rsidR="00E274AC" w:rsidRPr="00FE0DD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pt-BR"/>
        </w:rPr>
        <w:t>набавки</w:t>
      </w:r>
      <w:r w:rsidR="00E274AC" w:rsidRPr="00FE0DD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pt-BR"/>
        </w:rPr>
        <w:t>у</w:t>
      </w:r>
      <w:r w:rsidR="00E274AC" w:rsidRPr="00FE0DD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pt-BR"/>
        </w:rPr>
        <w:t>БиХ</w:t>
      </w:r>
    </w:p>
    <w:p w14:paraId="04C74814" w14:textId="77777777" w:rsidR="00E274AC" w:rsidRPr="00FE0DD3" w:rsidRDefault="00E274AC" w:rsidP="00E274AC">
      <w:pPr>
        <w:jc w:val="both"/>
        <w:rPr>
          <w:rFonts w:ascii="Times New Roman" w:hAnsi="Times New Roman" w:cs="Times New Roman"/>
        </w:rPr>
      </w:pPr>
    </w:p>
    <w:p w14:paraId="1EF2D5A9" w14:textId="379D4EBB" w:rsidR="00E274AC" w:rsidRPr="00FE0DD3" w:rsidRDefault="005E4D1F" w:rsidP="00E274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-BR"/>
        </w:rPr>
        <w:t>Глобално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посматрано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Босна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Херцеговина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мало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тржиште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несумњиво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таква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тржишта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нису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претјерано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занимљива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компанијама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како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области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јавних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набавки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тако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других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инвестиција</w:t>
      </w:r>
      <w:r w:rsidR="00E274AC" w:rsidRPr="00FE0DD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pt-BR"/>
        </w:rPr>
        <w:t>Стога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случајевима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набавки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специфичних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сложених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роба</w:t>
      </w:r>
      <w:r w:rsidR="00E274AC" w:rsidRPr="00FE0D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радова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услуга</w:t>
      </w:r>
      <w:r w:rsidR="00E274AC" w:rsidRPr="00FE0D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за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које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су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квалификовани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само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ријетки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понуђачи</w:t>
      </w:r>
      <w:r w:rsidR="00E274AC" w:rsidRPr="00FE0D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оправдан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недостатак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конкуренције</w:t>
      </w:r>
      <w:r w:rsidR="00E274AC" w:rsidRPr="00FE0D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често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се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дешава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се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поступци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морају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поништити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јер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нико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од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понуђача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није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доставио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понуду</w:t>
      </w:r>
      <w:r w:rsidR="00E274AC" w:rsidRPr="00FE0DD3">
        <w:rPr>
          <w:rFonts w:ascii="Times New Roman" w:hAnsi="Times New Roman" w:cs="Times New Roman"/>
        </w:rPr>
        <w:t>.</w:t>
      </w:r>
    </w:p>
    <w:p w14:paraId="64FB852A" w14:textId="2D06EBDE" w:rsidR="00E274AC" w:rsidRPr="00FE0DD3" w:rsidRDefault="005E4D1F" w:rsidP="00E274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-BR"/>
        </w:rPr>
        <w:t>С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друге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стране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имамо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набавке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код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којих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објективно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најмањи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понуђач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може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испунити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услове</w:t>
      </w:r>
      <w:r w:rsidR="00E274AC" w:rsidRPr="00FE0D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то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су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набавке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роба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као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што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су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прехрамбени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производи</w:t>
      </w:r>
      <w:r w:rsidR="00E274AC" w:rsidRPr="00FE0D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хигијенски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производи</w:t>
      </w:r>
      <w:r w:rsidR="00E274AC" w:rsidRPr="00FE0D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алкохолна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безалкохолна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пића</w:t>
      </w:r>
      <w:r w:rsidR="00E274AC" w:rsidRPr="00FE0D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канцелариски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материјал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слично</w:t>
      </w:r>
      <w:r w:rsidR="00E274AC" w:rsidRPr="00FE0DD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pt-BR"/>
        </w:rPr>
        <w:t>Ипак</w:t>
      </w:r>
      <w:r w:rsidR="00E274AC" w:rsidRPr="00FE0D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готово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правилу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дешава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се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достављање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само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једна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понуде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овим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поступцима</w:t>
      </w:r>
      <w:r w:rsidR="00E274AC" w:rsidRPr="00FE0D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те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евидентно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постоји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оправдана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сумња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недопуштене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договоре</w:t>
      </w:r>
      <w:r w:rsidR="00E274AC" w:rsidRPr="00FE0D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односно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колузију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која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нарушава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тржишну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конкуренцију</w:t>
      </w:r>
      <w:r w:rsidR="00E274AC" w:rsidRPr="00FE0DD3">
        <w:rPr>
          <w:rFonts w:ascii="Times New Roman" w:hAnsi="Times New Roman" w:cs="Times New Roman"/>
        </w:rPr>
        <w:t>.</w:t>
      </w:r>
    </w:p>
    <w:p w14:paraId="2030951F" w14:textId="1DCC1B63" w:rsidR="00E274AC" w:rsidRPr="00FE0DD3" w:rsidRDefault="005E4D1F" w:rsidP="00E274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-BR"/>
        </w:rPr>
        <w:lastRenderedPageBreak/>
        <w:t>У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пракси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су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недопуштени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договори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препознати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два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облика</w:t>
      </w:r>
      <w:r w:rsidR="00E274AC" w:rsidRPr="00FE0DD3">
        <w:rPr>
          <w:rFonts w:ascii="Times New Roman" w:hAnsi="Times New Roman" w:cs="Times New Roman"/>
        </w:rPr>
        <w:t>:</w:t>
      </w:r>
    </w:p>
    <w:p w14:paraId="02D57938" w14:textId="651D4657" w:rsidR="00E274AC" w:rsidRPr="00104B20" w:rsidRDefault="005E4D1F" w:rsidP="00E274AC">
      <w:pPr>
        <w:pStyle w:val="ListParagraph"/>
        <w:numPr>
          <w:ilvl w:val="0"/>
          <w:numId w:val="9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између</w:t>
      </w:r>
      <w:r w:rsidR="00E274AC" w:rsidRPr="00104B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понуђача</w:t>
      </w:r>
      <w:r w:rsidR="00E274AC" w:rsidRPr="00104B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међусобно</w:t>
      </w:r>
      <w:r w:rsidR="00E274AC" w:rsidRPr="00104B20">
        <w:rPr>
          <w:rFonts w:ascii="Times New Roman" w:hAnsi="Times New Roman" w:cs="Times New Roman"/>
        </w:rPr>
        <w:t>;</w:t>
      </w:r>
    </w:p>
    <w:p w14:paraId="5297FA3D" w14:textId="06DE48B6" w:rsidR="00E274AC" w:rsidRPr="00FE0DD3" w:rsidRDefault="005E4D1F" w:rsidP="00E274AC">
      <w:pPr>
        <w:pStyle w:val="ListParagraph"/>
        <w:numPr>
          <w:ilvl w:val="0"/>
          <w:numId w:val="9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-BR"/>
        </w:rPr>
        <w:t>између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уговорних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органа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понуђача</w:t>
      </w:r>
      <w:r w:rsidR="00E274AC" w:rsidRPr="00FE0DD3">
        <w:rPr>
          <w:rFonts w:ascii="Times New Roman" w:hAnsi="Times New Roman" w:cs="Times New Roman"/>
        </w:rPr>
        <w:t>.</w:t>
      </w:r>
    </w:p>
    <w:p w14:paraId="2B67C60A" w14:textId="3410BC94" w:rsidR="00E274AC" w:rsidRPr="00FE0DD3" w:rsidRDefault="005E4D1F" w:rsidP="00E274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-BR"/>
        </w:rPr>
        <w:t>Начин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извршења</w:t>
      </w:r>
      <w:r w:rsidR="00E274AC" w:rsidRPr="00FE0DD3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pt-BR"/>
        </w:rPr>
        <w:t>модус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операнди</w:t>
      </w:r>
      <w:r w:rsidR="00E274AC" w:rsidRPr="00FE0DD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lang w:val="pt-BR"/>
        </w:rPr>
        <w:t>за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мођусобне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договоре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понуђача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једноставан</w:t>
      </w:r>
      <w:r w:rsidR="00E274AC" w:rsidRPr="00FE0D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они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склапају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неформалне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договоре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око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тога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се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једни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другима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не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мијешају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посао</w:t>
      </w:r>
      <w:r w:rsidR="00E274AC" w:rsidRPr="00FE0D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да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одустају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од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е</w:t>
      </w:r>
      <w:r w:rsidR="00E274AC" w:rsidRPr="00FE0DD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pt-BR"/>
        </w:rPr>
        <w:t>Аукција</w:t>
      </w:r>
      <w:r w:rsidR="00E274AC" w:rsidRPr="00FE0D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да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шаљу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пратеће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понуде</w:t>
      </w:r>
      <w:r w:rsidR="00E274AC" w:rsidRPr="00FE0D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да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се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ротирају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позицијама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побједника</w:t>
      </w:r>
      <w:r w:rsidR="00E274AC" w:rsidRPr="00FE0D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да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територијално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или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други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начин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дијеле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тржиште</w:t>
      </w:r>
      <w:r w:rsidR="00E274AC" w:rsidRPr="00FE0D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да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једни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друге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ангажују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као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подизвођаче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слично</w:t>
      </w:r>
      <w:r w:rsidR="00E274AC" w:rsidRPr="00FE0DD3">
        <w:rPr>
          <w:rFonts w:ascii="Times New Roman" w:hAnsi="Times New Roman" w:cs="Times New Roman"/>
        </w:rPr>
        <w:t xml:space="preserve">. </w:t>
      </w:r>
    </w:p>
    <w:p w14:paraId="472529E0" w14:textId="26703A2B" w:rsidR="00E274AC" w:rsidRPr="00FE0DD3" w:rsidRDefault="005E4D1F" w:rsidP="00E274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-BR"/>
        </w:rPr>
        <w:t>Код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недопуштених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договора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уговорних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органа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понуђача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издваја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се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комуникација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око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прилагођавања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услова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за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квалификацију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понуђача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техничких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спецификација</w:t>
      </w:r>
      <w:r w:rsidR="00E274AC" w:rsidRPr="00FE0DD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pt-BR"/>
        </w:rPr>
        <w:t>Такође</w:t>
      </w:r>
      <w:r w:rsidR="00E274AC" w:rsidRPr="00FE0D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у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пракси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заступљено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информисање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понуђача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коме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уговор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намијењен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од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стране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уговорног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органа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погледу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тога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ко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све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преузео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тендерску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документацију</w:t>
      </w:r>
      <w:r w:rsidR="00E274AC" w:rsidRPr="00FE0D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како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би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понуђач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даље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могао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комуницирати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конкуренцијом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око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тога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не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достављају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понуде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или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се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на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неки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други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начин</w:t>
      </w:r>
      <w:r w:rsidR="00E274A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договоре</w:t>
      </w:r>
      <w:r w:rsidR="00E274AC" w:rsidRPr="00FE0DD3">
        <w:rPr>
          <w:rFonts w:ascii="Times New Roman" w:hAnsi="Times New Roman" w:cs="Times New Roman"/>
        </w:rPr>
        <w:t>.</w:t>
      </w:r>
    </w:p>
    <w:p w14:paraId="77C451B6" w14:textId="0109DAE2" w:rsidR="00E274AC" w:rsidRPr="00FE0DD3" w:rsidRDefault="00FB088F" w:rsidP="00E274AC">
      <w:pPr>
        <w:jc w:val="both"/>
        <w:rPr>
          <w:rFonts w:ascii="Times New Roman" w:hAnsi="Times New Roman" w:cs="Times New Roman"/>
          <w:b/>
          <w:bCs/>
        </w:rPr>
      </w:pPr>
      <w:r w:rsidRPr="00FE0DD3">
        <w:rPr>
          <w:rFonts w:ascii="Times New Roman" w:hAnsi="Times New Roman" w:cs="Times New Roman"/>
          <w:b/>
          <w:bCs/>
        </w:rPr>
        <w:t>1.2.</w:t>
      </w:r>
      <w:r w:rsidR="00E274AC" w:rsidRPr="00FE0DD3">
        <w:rPr>
          <w:rFonts w:ascii="Times New Roman" w:hAnsi="Times New Roman" w:cs="Times New Roman"/>
          <w:b/>
          <w:bCs/>
        </w:rPr>
        <w:t xml:space="preserve"> </w:t>
      </w:r>
      <w:r w:rsidR="005E4D1F">
        <w:rPr>
          <w:rFonts w:ascii="Times New Roman" w:hAnsi="Times New Roman" w:cs="Times New Roman"/>
          <w:b/>
          <w:bCs/>
          <w:lang w:val="pt-BR"/>
        </w:rPr>
        <w:t>Нормативни</w:t>
      </w:r>
      <w:r w:rsidR="00E274AC" w:rsidRPr="00FE0DD3">
        <w:rPr>
          <w:rFonts w:ascii="Times New Roman" w:hAnsi="Times New Roman" w:cs="Times New Roman"/>
          <w:b/>
          <w:bCs/>
        </w:rPr>
        <w:t xml:space="preserve"> </w:t>
      </w:r>
      <w:r w:rsidR="005E4D1F">
        <w:rPr>
          <w:rFonts w:ascii="Times New Roman" w:hAnsi="Times New Roman" w:cs="Times New Roman"/>
          <w:b/>
          <w:bCs/>
          <w:lang w:val="pt-BR"/>
        </w:rPr>
        <w:t>и</w:t>
      </w:r>
      <w:r w:rsidR="00E274AC" w:rsidRPr="00FE0DD3">
        <w:rPr>
          <w:rFonts w:ascii="Times New Roman" w:hAnsi="Times New Roman" w:cs="Times New Roman"/>
          <w:b/>
          <w:bCs/>
        </w:rPr>
        <w:t xml:space="preserve"> </w:t>
      </w:r>
      <w:r w:rsidR="005E4D1F">
        <w:rPr>
          <w:rFonts w:ascii="Times New Roman" w:hAnsi="Times New Roman" w:cs="Times New Roman"/>
          <w:b/>
          <w:bCs/>
          <w:lang w:val="pt-BR"/>
        </w:rPr>
        <w:t>институционални</w:t>
      </w:r>
      <w:r w:rsidR="00E274AC" w:rsidRPr="00FE0DD3">
        <w:rPr>
          <w:rFonts w:ascii="Times New Roman" w:hAnsi="Times New Roman" w:cs="Times New Roman"/>
          <w:b/>
          <w:bCs/>
        </w:rPr>
        <w:t xml:space="preserve"> </w:t>
      </w:r>
      <w:r w:rsidR="005E4D1F">
        <w:rPr>
          <w:rFonts w:ascii="Times New Roman" w:hAnsi="Times New Roman" w:cs="Times New Roman"/>
          <w:b/>
          <w:bCs/>
          <w:lang w:val="pt-BR"/>
        </w:rPr>
        <w:t>оквир</w:t>
      </w:r>
    </w:p>
    <w:p w14:paraId="417F9D11" w14:textId="67439A36" w:rsidR="00E274AC" w:rsidRPr="00FE0DD3" w:rsidRDefault="005E4D1F" w:rsidP="00E274AC">
      <w:pPr>
        <w:pStyle w:val="NormalWeb"/>
        <w:jc w:val="both"/>
      </w:pPr>
      <w:r>
        <w:rPr>
          <w:lang w:val="pt-BR"/>
        </w:rPr>
        <w:t>Нормативни</w:t>
      </w:r>
      <w:r w:rsidR="00E274AC" w:rsidRPr="00FE0DD3">
        <w:t xml:space="preserve"> </w:t>
      </w:r>
      <w:r>
        <w:rPr>
          <w:lang w:val="pt-BR"/>
        </w:rPr>
        <w:t>и</w:t>
      </w:r>
      <w:r w:rsidR="00E274AC" w:rsidRPr="00FE0DD3">
        <w:t xml:space="preserve"> </w:t>
      </w:r>
      <w:r>
        <w:rPr>
          <w:lang w:val="pt-BR"/>
        </w:rPr>
        <w:t>институционални</w:t>
      </w:r>
      <w:r w:rsidR="00E274AC" w:rsidRPr="00FE0DD3">
        <w:t xml:space="preserve"> </w:t>
      </w:r>
      <w:r>
        <w:rPr>
          <w:lang w:val="pt-BR"/>
        </w:rPr>
        <w:t>оквир</w:t>
      </w:r>
      <w:r w:rsidR="00E274AC" w:rsidRPr="00FE0DD3">
        <w:t xml:space="preserve"> </w:t>
      </w:r>
      <w:r>
        <w:rPr>
          <w:lang w:val="pt-BR"/>
        </w:rPr>
        <w:t>јавних</w:t>
      </w:r>
      <w:r w:rsidR="00E274AC" w:rsidRPr="00FE0DD3">
        <w:t xml:space="preserve"> </w:t>
      </w:r>
      <w:r>
        <w:rPr>
          <w:lang w:val="pt-BR"/>
        </w:rPr>
        <w:t>набавки</w:t>
      </w:r>
      <w:r w:rsidR="00E274AC" w:rsidRPr="00FE0DD3">
        <w:t xml:space="preserve"> </w:t>
      </w:r>
      <w:r>
        <w:rPr>
          <w:lang w:val="pt-BR"/>
        </w:rPr>
        <w:t>у</w:t>
      </w:r>
      <w:r w:rsidR="00E274AC" w:rsidRPr="00FE0DD3">
        <w:t xml:space="preserve"> </w:t>
      </w:r>
      <w:r>
        <w:rPr>
          <w:lang w:val="pt-BR"/>
        </w:rPr>
        <w:t>БиХ</w:t>
      </w:r>
      <w:r w:rsidR="00E274AC" w:rsidRPr="00FE0DD3">
        <w:t xml:space="preserve"> </w:t>
      </w:r>
      <w:r>
        <w:rPr>
          <w:lang w:val="pt-BR"/>
        </w:rPr>
        <w:t>систем</w:t>
      </w:r>
      <w:r w:rsidR="00E274AC" w:rsidRPr="00FE0DD3">
        <w:t xml:space="preserve"> </w:t>
      </w:r>
      <w:r>
        <w:rPr>
          <w:lang w:val="pt-BR"/>
        </w:rPr>
        <w:t>је</w:t>
      </w:r>
      <w:r w:rsidR="00E274AC" w:rsidRPr="00FE0DD3">
        <w:t xml:space="preserve"> </w:t>
      </w:r>
      <w:r>
        <w:rPr>
          <w:lang w:val="pt-BR"/>
        </w:rPr>
        <w:t>са</w:t>
      </w:r>
      <w:r w:rsidR="00E274AC" w:rsidRPr="00FE0DD3">
        <w:t xml:space="preserve"> </w:t>
      </w:r>
      <w:r>
        <w:rPr>
          <w:lang w:val="pt-BR"/>
        </w:rPr>
        <w:t>снажним</w:t>
      </w:r>
      <w:r w:rsidR="00E274AC" w:rsidRPr="00FE0DD3">
        <w:t xml:space="preserve"> </w:t>
      </w:r>
      <w:r>
        <w:rPr>
          <w:lang w:val="pt-BR"/>
        </w:rPr>
        <w:t>формалним</w:t>
      </w:r>
      <w:r w:rsidR="00E274AC" w:rsidRPr="00FE0DD3">
        <w:t xml:space="preserve"> </w:t>
      </w:r>
      <w:r>
        <w:rPr>
          <w:lang w:val="pt-BR"/>
        </w:rPr>
        <w:t>правилима</w:t>
      </w:r>
      <w:r w:rsidR="00E274AC" w:rsidRPr="00FE0DD3">
        <w:t xml:space="preserve">, </w:t>
      </w:r>
      <w:r>
        <w:rPr>
          <w:lang w:val="pt-BR"/>
        </w:rPr>
        <w:t>али</w:t>
      </w:r>
      <w:r w:rsidR="00E274AC" w:rsidRPr="00FE0DD3">
        <w:t xml:space="preserve"> </w:t>
      </w:r>
      <w:r>
        <w:rPr>
          <w:lang w:val="pt-BR"/>
        </w:rPr>
        <w:t>сложеном</w:t>
      </w:r>
      <w:r w:rsidR="00E274AC" w:rsidRPr="00FE0DD3">
        <w:t xml:space="preserve"> </w:t>
      </w:r>
      <w:r>
        <w:rPr>
          <w:lang w:val="pt-BR"/>
        </w:rPr>
        <w:t>институционалном</w:t>
      </w:r>
      <w:r w:rsidR="00E274AC" w:rsidRPr="00FE0DD3">
        <w:t xml:space="preserve"> </w:t>
      </w:r>
      <w:r>
        <w:rPr>
          <w:lang w:val="pt-BR"/>
        </w:rPr>
        <w:t>структуром</w:t>
      </w:r>
      <w:r w:rsidR="00E274AC" w:rsidRPr="00FE0DD3">
        <w:t xml:space="preserve"> </w:t>
      </w:r>
      <w:r>
        <w:rPr>
          <w:lang w:val="pt-BR"/>
        </w:rPr>
        <w:t>која</w:t>
      </w:r>
      <w:r w:rsidR="00E274AC" w:rsidRPr="00FE0DD3">
        <w:t xml:space="preserve"> </w:t>
      </w:r>
      <w:r>
        <w:rPr>
          <w:lang w:val="pt-BR"/>
        </w:rPr>
        <w:t>може</w:t>
      </w:r>
      <w:r w:rsidR="00E274AC" w:rsidRPr="00FE0DD3">
        <w:t xml:space="preserve"> </w:t>
      </w:r>
      <w:r>
        <w:rPr>
          <w:lang w:val="pt-BR"/>
        </w:rPr>
        <w:t>утицати</w:t>
      </w:r>
      <w:r w:rsidR="00E274AC" w:rsidRPr="00FE0DD3">
        <w:t xml:space="preserve"> </w:t>
      </w:r>
      <w:r>
        <w:rPr>
          <w:lang w:val="pt-BR"/>
        </w:rPr>
        <w:t>на</w:t>
      </w:r>
      <w:r w:rsidR="00E274AC" w:rsidRPr="00FE0DD3">
        <w:t xml:space="preserve"> </w:t>
      </w:r>
      <w:r>
        <w:rPr>
          <w:lang w:val="pt-BR"/>
        </w:rPr>
        <w:t>неуједначену</w:t>
      </w:r>
      <w:r w:rsidR="00E274AC" w:rsidRPr="00FE0DD3">
        <w:t xml:space="preserve"> </w:t>
      </w:r>
      <w:r>
        <w:rPr>
          <w:lang w:val="pt-BR"/>
        </w:rPr>
        <w:t>праксу</w:t>
      </w:r>
      <w:r w:rsidR="00E274AC" w:rsidRPr="00FE0DD3">
        <w:t xml:space="preserve"> </w:t>
      </w:r>
      <w:r>
        <w:rPr>
          <w:lang w:val="pt-BR"/>
        </w:rPr>
        <w:t>и</w:t>
      </w:r>
      <w:r w:rsidR="00E274AC" w:rsidRPr="00FE0DD3">
        <w:t xml:space="preserve"> </w:t>
      </w:r>
      <w:r>
        <w:rPr>
          <w:lang w:val="pt-BR"/>
        </w:rPr>
        <w:t>различите</w:t>
      </w:r>
      <w:r w:rsidR="00E274AC" w:rsidRPr="00FE0DD3">
        <w:t xml:space="preserve"> </w:t>
      </w:r>
      <w:r>
        <w:rPr>
          <w:lang w:val="pt-BR"/>
        </w:rPr>
        <w:t>нивое</w:t>
      </w:r>
      <w:r w:rsidR="00E274AC" w:rsidRPr="00FE0DD3">
        <w:t xml:space="preserve"> </w:t>
      </w:r>
      <w:r>
        <w:rPr>
          <w:lang w:val="pt-BR"/>
        </w:rPr>
        <w:t>тржишне</w:t>
      </w:r>
      <w:r w:rsidR="00E274AC" w:rsidRPr="00FE0DD3">
        <w:t xml:space="preserve"> </w:t>
      </w:r>
      <w:r>
        <w:rPr>
          <w:lang w:val="pt-BR"/>
        </w:rPr>
        <w:t>отворености</w:t>
      </w:r>
      <w:r w:rsidR="00E274AC" w:rsidRPr="00FE0DD3">
        <w:t xml:space="preserve">. </w:t>
      </w:r>
      <w:r>
        <w:rPr>
          <w:lang w:val="pt-BR"/>
        </w:rPr>
        <w:t>Постојећи</w:t>
      </w:r>
      <w:r w:rsidR="00E274AC" w:rsidRPr="00FE0DD3">
        <w:t xml:space="preserve"> </w:t>
      </w:r>
      <w:r>
        <w:rPr>
          <w:lang w:val="pt-BR"/>
        </w:rPr>
        <w:t>правни</w:t>
      </w:r>
      <w:r w:rsidR="00E274AC" w:rsidRPr="00FE0DD3">
        <w:t xml:space="preserve"> </w:t>
      </w:r>
      <w:r>
        <w:rPr>
          <w:lang w:val="pt-BR"/>
        </w:rPr>
        <w:t>оквир</w:t>
      </w:r>
      <w:r w:rsidR="00E274AC" w:rsidRPr="00FE0DD3">
        <w:t xml:space="preserve"> </w:t>
      </w:r>
      <w:r>
        <w:rPr>
          <w:lang w:val="pt-BR"/>
        </w:rPr>
        <w:t>пружа</w:t>
      </w:r>
      <w:r w:rsidR="00E274AC" w:rsidRPr="00FE0DD3">
        <w:t xml:space="preserve"> </w:t>
      </w:r>
      <w:r>
        <w:rPr>
          <w:lang w:val="pt-BR"/>
        </w:rPr>
        <w:t>адекватне</w:t>
      </w:r>
      <w:r w:rsidR="00E274AC" w:rsidRPr="00FE0DD3">
        <w:t xml:space="preserve"> </w:t>
      </w:r>
      <w:r>
        <w:rPr>
          <w:lang w:val="pt-BR"/>
        </w:rPr>
        <w:t>основе</w:t>
      </w:r>
      <w:r w:rsidR="00E274AC" w:rsidRPr="00FE0DD3">
        <w:t xml:space="preserve"> </w:t>
      </w:r>
      <w:r>
        <w:rPr>
          <w:lang w:val="pt-BR"/>
        </w:rPr>
        <w:t>за</w:t>
      </w:r>
      <w:r w:rsidR="00E274AC" w:rsidRPr="00FE0DD3">
        <w:t xml:space="preserve"> </w:t>
      </w:r>
      <w:r>
        <w:rPr>
          <w:lang w:val="pt-BR"/>
        </w:rPr>
        <w:t>конкурентне</w:t>
      </w:r>
      <w:r w:rsidR="00E274AC" w:rsidRPr="00FE0DD3">
        <w:t xml:space="preserve"> </w:t>
      </w:r>
      <w:r>
        <w:rPr>
          <w:lang w:val="pt-BR"/>
        </w:rPr>
        <w:t>процесе</w:t>
      </w:r>
      <w:r w:rsidR="00E274AC" w:rsidRPr="00FE0DD3">
        <w:t xml:space="preserve">, </w:t>
      </w:r>
      <w:r>
        <w:rPr>
          <w:lang w:val="pt-BR"/>
        </w:rPr>
        <w:t>али</w:t>
      </w:r>
      <w:r w:rsidR="00E274AC" w:rsidRPr="00FE0DD3">
        <w:t xml:space="preserve"> </w:t>
      </w:r>
      <w:r>
        <w:rPr>
          <w:lang w:val="pt-BR"/>
        </w:rPr>
        <w:t>ефективност</w:t>
      </w:r>
      <w:r w:rsidR="00E274AC" w:rsidRPr="00FE0DD3">
        <w:t xml:space="preserve"> </w:t>
      </w:r>
      <w:r>
        <w:rPr>
          <w:lang w:val="pt-BR"/>
        </w:rPr>
        <w:t>у</w:t>
      </w:r>
      <w:r w:rsidR="00E274AC" w:rsidRPr="00FE0DD3">
        <w:t xml:space="preserve"> </w:t>
      </w:r>
      <w:r>
        <w:rPr>
          <w:lang w:val="pt-BR"/>
        </w:rPr>
        <w:t>пракси</w:t>
      </w:r>
      <w:r w:rsidR="00E274AC" w:rsidRPr="00FE0DD3">
        <w:t xml:space="preserve"> </w:t>
      </w:r>
      <w:r>
        <w:rPr>
          <w:lang w:val="pt-BR"/>
        </w:rPr>
        <w:t>зависи</w:t>
      </w:r>
      <w:r w:rsidR="00E274AC" w:rsidRPr="00FE0DD3">
        <w:t xml:space="preserve"> </w:t>
      </w:r>
      <w:r>
        <w:rPr>
          <w:lang w:val="pt-BR"/>
        </w:rPr>
        <w:t>од</w:t>
      </w:r>
      <w:r w:rsidR="00E274AC" w:rsidRPr="00FE0DD3">
        <w:t>:</w:t>
      </w:r>
    </w:p>
    <w:p w14:paraId="57B96905" w14:textId="4CB09880" w:rsidR="00E274AC" w:rsidRPr="00104B20" w:rsidRDefault="005E4D1F" w:rsidP="00E274AC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>капацитета</w:t>
      </w:r>
      <w:r w:rsidR="00E274AC" w:rsidRPr="00104B20">
        <w:rPr>
          <w:rFonts w:ascii="Times New Roman" w:eastAsia="Times New Roman" w:hAnsi="Times New Roman" w:cs="Times New Roma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14:ligatures w14:val="none"/>
        </w:rPr>
        <w:t>уговорних</w:t>
      </w:r>
      <w:r w:rsidR="00E274AC" w:rsidRPr="00104B20">
        <w:rPr>
          <w:rFonts w:ascii="Times New Roman" w:eastAsia="Times New Roman" w:hAnsi="Times New Roman" w:cs="Times New Roma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14:ligatures w14:val="none"/>
        </w:rPr>
        <w:t>органа</w:t>
      </w:r>
      <w:r w:rsidR="00E274AC" w:rsidRPr="00104B20">
        <w:rPr>
          <w:rFonts w:ascii="Times New Roman" w:eastAsia="Times New Roman" w:hAnsi="Times New Roman" w:cs="Times New Roman"/>
          <w14:ligatures w14:val="none"/>
        </w:rPr>
        <w:t>,</w:t>
      </w:r>
    </w:p>
    <w:p w14:paraId="7EFEC878" w14:textId="7C3688AF" w:rsidR="00E274AC" w:rsidRPr="00FE0DD3" w:rsidRDefault="005E4D1F" w:rsidP="00E274AC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:lang w:val="pt-BR"/>
          <w14:ligatures w14:val="none"/>
        </w:rPr>
        <w:t>квалитета</w:t>
      </w:r>
      <w:r w:rsidR="00E274AC" w:rsidRPr="00FE0DD3">
        <w:rPr>
          <w:rFonts w:ascii="Times New Roman" w:eastAsia="Times New Roman" w:hAnsi="Times New Roman" w:cs="Times New Roma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lang w:val="pt-BR"/>
          <w14:ligatures w14:val="none"/>
        </w:rPr>
        <w:t>надзора</w:t>
      </w:r>
      <w:r w:rsidR="00E274AC" w:rsidRPr="00FE0DD3">
        <w:rPr>
          <w:rFonts w:ascii="Times New Roman" w:eastAsia="Times New Roman" w:hAnsi="Times New Roman" w:cs="Times New Roma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lang w:val="pt-BR"/>
          <w14:ligatures w14:val="none"/>
        </w:rPr>
        <w:t>и</w:t>
      </w:r>
      <w:r w:rsidR="00E274AC" w:rsidRPr="00FE0DD3">
        <w:rPr>
          <w:rFonts w:ascii="Times New Roman" w:eastAsia="Times New Roman" w:hAnsi="Times New Roman" w:cs="Times New Roma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lang w:val="pt-BR"/>
          <w14:ligatures w14:val="none"/>
        </w:rPr>
        <w:t>жалбеног</w:t>
      </w:r>
      <w:r w:rsidR="00E274AC" w:rsidRPr="00FE0DD3">
        <w:rPr>
          <w:rFonts w:ascii="Times New Roman" w:eastAsia="Times New Roman" w:hAnsi="Times New Roman" w:cs="Times New Roma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lang w:val="pt-BR"/>
          <w14:ligatures w14:val="none"/>
        </w:rPr>
        <w:t>система</w:t>
      </w:r>
      <w:r w:rsidR="00E274AC" w:rsidRPr="00FE0DD3">
        <w:rPr>
          <w:rFonts w:ascii="Times New Roman" w:eastAsia="Times New Roman" w:hAnsi="Times New Roman" w:cs="Times New Roman"/>
          <w14:ligatures w14:val="none"/>
        </w:rPr>
        <w:t>,</w:t>
      </w:r>
    </w:p>
    <w:p w14:paraId="0F5D93C4" w14:textId="75CC118B" w:rsidR="00E274AC" w:rsidRPr="00104B20" w:rsidRDefault="005E4D1F" w:rsidP="00E274AC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>професионализације</w:t>
      </w:r>
      <w:r w:rsidR="00E274AC" w:rsidRPr="00104B20">
        <w:rPr>
          <w:rFonts w:ascii="Times New Roman" w:eastAsia="Times New Roman" w:hAnsi="Times New Roman" w:cs="Times New Roma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14:ligatures w14:val="none"/>
        </w:rPr>
        <w:t>тржишних</w:t>
      </w:r>
      <w:r w:rsidR="00E274AC" w:rsidRPr="00104B20">
        <w:rPr>
          <w:rFonts w:ascii="Times New Roman" w:eastAsia="Times New Roman" w:hAnsi="Times New Roman" w:cs="Times New Roma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14:ligatures w14:val="none"/>
        </w:rPr>
        <w:t>актера</w:t>
      </w:r>
      <w:r w:rsidR="00E274AC" w:rsidRPr="00104B20">
        <w:rPr>
          <w:rFonts w:ascii="Times New Roman" w:eastAsia="Times New Roman" w:hAnsi="Times New Roman" w:cs="Times New Roman"/>
          <w14:ligatures w14:val="none"/>
        </w:rPr>
        <w:t>,</w:t>
      </w:r>
    </w:p>
    <w:p w14:paraId="13FA7689" w14:textId="465CD8CB" w:rsidR="00E274AC" w:rsidRPr="00104B20" w:rsidRDefault="005E4D1F" w:rsidP="00E274AC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>ефикасности</w:t>
      </w:r>
      <w:r w:rsidR="00E274AC" w:rsidRPr="00104B20">
        <w:rPr>
          <w:rFonts w:ascii="Times New Roman" w:eastAsia="Times New Roman" w:hAnsi="Times New Roman" w:cs="Times New Roma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14:ligatures w14:val="none"/>
        </w:rPr>
        <w:t>е</w:t>
      </w:r>
      <w:r w:rsidR="00E274AC" w:rsidRPr="00104B20">
        <w:rPr>
          <w:rFonts w:ascii="Times New Roman" w:eastAsia="Times New Roman" w:hAnsi="Times New Roman" w:cs="Times New Roman"/>
          <w14:ligatures w14:val="none"/>
        </w:rPr>
        <w:t>-</w:t>
      </w:r>
      <w:r>
        <w:rPr>
          <w:rFonts w:ascii="Times New Roman" w:eastAsia="Times New Roman" w:hAnsi="Times New Roman" w:cs="Times New Roman"/>
          <w14:ligatures w14:val="none"/>
        </w:rPr>
        <w:t>набавки</w:t>
      </w:r>
      <w:r w:rsidR="00E274AC" w:rsidRPr="00104B20">
        <w:rPr>
          <w:rFonts w:ascii="Times New Roman" w:eastAsia="Times New Roman" w:hAnsi="Times New Roman" w:cs="Times New Roman"/>
          <w14:ligatures w14:val="none"/>
        </w:rPr>
        <w:t>,</w:t>
      </w:r>
    </w:p>
    <w:p w14:paraId="0AA21F51" w14:textId="41448BBA" w:rsidR="00E274AC" w:rsidRPr="00104B20" w:rsidRDefault="005E4D1F" w:rsidP="00E274AC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>и</w:t>
      </w:r>
      <w:r w:rsidR="00E274AC" w:rsidRPr="00104B20">
        <w:rPr>
          <w:rFonts w:ascii="Times New Roman" w:eastAsia="Times New Roman" w:hAnsi="Times New Roman" w:cs="Times New Roma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14:ligatures w14:val="none"/>
        </w:rPr>
        <w:t>координације</w:t>
      </w:r>
      <w:r w:rsidR="00E274AC" w:rsidRPr="00104B20">
        <w:rPr>
          <w:rFonts w:ascii="Times New Roman" w:eastAsia="Times New Roman" w:hAnsi="Times New Roman" w:cs="Times New Roma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14:ligatures w14:val="none"/>
        </w:rPr>
        <w:t>међу</w:t>
      </w:r>
      <w:r w:rsidR="00E274AC" w:rsidRPr="00104B20">
        <w:rPr>
          <w:rFonts w:ascii="Times New Roman" w:eastAsia="Times New Roman" w:hAnsi="Times New Roman" w:cs="Times New Roma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14:ligatures w14:val="none"/>
        </w:rPr>
        <w:t>институцијама</w:t>
      </w:r>
      <w:r w:rsidR="00E274AC" w:rsidRPr="00104B20">
        <w:rPr>
          <w:rFonts w:ascii="Times New Roman" w:eastAsia="Times New Roman" w:hAnsi="Times New Roman" w:cs="Times New Roman"/>
          <w14:ligatures w14:val="none"/>
        </w:rPr>
        <w:t>.</w:t>
      </w:r>
    </w:p>
    <w:p w14:paraId="4208D35B" w14:textId="517938B8" w:rsidR="0021204D" w:rsidRPr="00104B20" w:rsidRDefault="005E4D1F" w:rsidP="00E274AC">
      <w:pPr>
        <w:pStyle w:val="NormalWeb"/>
        <w:jc w:val="both"/>
      </w:pPr>
      <w:r>
        <w:t>Ово</w:t>
      </w:r>
      <w:r w:rsidR="00E274AC" w:rsidRPr="00104B20">
        <w:t xml:space="preserve"> </w:t>
      </w:r>
      <w:r>
        <w:t>анализа</w:t>
      </w:r>
      <w:r w:rsidR="00E274AC" w:rsidRPr="00104B20">
        <w:t xml:space="preserve">  </w:t>
      </w:r>
      <w:r>
        <w:t>представља</w:t>
      </w:r>
      <w:r w:rsidR="00E274AC" w:rsidRPr="00104B20">
        <w:t xml:space="preserve"> </w:t>
      </w:r>
      <w:r>
        <w:t>основ</w:t>
      </w:r>
      <w:r w:rsidR="00E274AC" w:rsidRPr="00104B20">
        <w:t xml:space="preserve">  </w:t>
      </w:r>
      <w:r>
        <w:t>за</w:t>
      </w:r>
      <w:r w:rsidR="00E274AC" w:rsidRPr="00104B20">
        <w:t xml:space="preserve"> </w:t>
      </w:r>
      <w:r>
        <w:t>разумијевање</w:t>
      </w:r>
      <w:r w:rsidR="00E274AC" w:rsidRPr="00104B20">
        <w:t xml:space="preserve"> </w:t>
      </w:r>
      <w:r>
        <w:t>фактора</w:t>
      </w:r>
      <w:r w:rsidR="00E274AC" w:rsidRPr="00104B20">
        <w:t xml:space="preserve"> </w:t>
      </w:r>
      <w:r>
        <w:t>који</w:t>
      </w:r>
      <w:r w:rsidR="00E274AC" w:rsidRPr="00104B20">
        <w:t xml:space="preserve"> </w:t>
      </w:r>
      <w:r>
        <w:t>утичу</w:t>
      </w:r>
      <w:r w:rsidR="00E274AC" w:rsidRPr="00104B20">
        <w:t xml:space="preserve"> </w:t>
      </w:r>
      <w:r>
        <w:t>на</w:t>
      </w:r>
      <w:r w:rsidR="00E274AC" w:rsidRPr="00104B20">
        <w:t xml:space="preserve"> </w:t>
      </w:r>
      <w:r>
        <w:t>конкуренцију</w:t>
      </w:r>
      <w:r w:rsidR="00E274AC" w:rsidRPr="00104B20">
        <w:t xml:space="preserve"> </w:t>
      </w:r>
      <w:r>
        <w:t>и</w:t>
      </w:r>
      <w:r w:rsidR="00E274AC" w:rsidRPr="00104B20">
        <w:t xml:space="preserve"> </w:t>
      </w:r>
      <w:r>
        <w:t>тржишну</w:t>
      </w:r>
      <w:r w:rsidR="00E274AC" w:rsidRPr="00104B20">
        <w:t xml:space="preserve"> </w:t>
      </w:r>
      <w:r>
        <w:t>динамику</w:t>
      </w:r>
      <w:r w:rsidR="00E274AC" w:rsidRPr="00104B20">
        <w:t xml:space="preserve"> </w:t>
      </w:r>
      <w:r>
        <w:t>у</w:t>
      </w:r>
      <w:r w:rsidR="00E274AC" w:rsidRPr="00104B20">
        <w:t xml:space="preserve"> </w:t>
      </w:r>
      <w:r>
        <w:t>наредним</w:t>
      </w:r>
      <w:r w:rsidR="00E274AC" w:rsidRPr="00104B20">
        <w:t xml:space="preserve"> </w:t>
      </w:r>
      <w:r>
        <w:t>дијеловима</w:t>
      </w:r>
      <w:r w:rsidR="00E274AC" w:rsidRPr="00104B20">
        <w:t xml:space="preserve"> </w:t>
      </w:r>
      <w:r>
        <w:t>анализе</w:t>
      </w:r>
      <w:r w:rsidR="00E274AC" w:rsidRPr="00104B20">
        <w:t>.</w:t>
      </w:r>
    </w:p>
    <w:p w14:paraId="635D0BA9" w14:textId="1B2B76B3" w:rsidR="00FB088F" w:rsidRPr="00DF1112" w:rsidRDefault="005E4D1F" w:rsidP="00FB088F">
      <w:pPr>
        <w:pStyle w:val="ListParagraph"/>
        <w:numPr>
          <w:ilvl w:val="1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Извори</w:t>
      </w:r>
      <w:r w:rsidR="00FB088F" w:rsidRPr="00DF1112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података</w:t>
      </w:r>
      <w:r w:rsidR="00FB088F" w:rsidRPr="00DF1112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</w:p>
    <w:p w14:paraId="21A233DA" w14:textId="2ED766DA" w:rsidR="000D6761" w:rsidRPr="00104B20" w:rsidRDefault="005E4D1F" w:rsidP="000D6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Анализа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темељи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сљедећим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примарним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секундарним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изворима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података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66ABF4A8" w14:textId="52D743B5" w:rsidR="000D6761" w:rsidRPr="00104B20" w:rsidRDefault="005E4D1F" w:rsidP="000D6761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Портал</w:t>
      </w:r>
      <w:r w:rsidR="000D6761" w:rsidRPr="00104B2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јавних</w:t>
      </w:r>
      <w:r w:rsidR="000D6761" w:rsidRPr="00104B2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набавки</w:t>
      </w:r>
      <w:r w:rsidR="000D6761" w:rsidRPr="00104B2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е</w:t>
      </w:r>
      <w:r w:rsidR="000D6761" w:rsidRPr="00104B2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набавке</w:t>
      </w:r>
      <w:r w:rsidR="000D6761" w:rsidRPr="00104B2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)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</w:p>
    <w:p w14:paraId="6DD5AF4A" w14:textId="4EE01E8A" w:rsidR="000D6761" w:rsidRPr="00104B20" w:rsidRDefault="005E4D1F" w:rsidP="000D6761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Годишњи</w:t>
      </w:r>
      <w:r w:rsidR="000D6761" w:rsidRPr="00104B2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извјештаји</w:t>
      </w:r>
      <w:r w:rsidR="000D6761" w:rsidRPr="00104B2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Агенције</w:t>
      </w:r>
      <w:r w:rsidR="000D6761" w:rsidRPr="00104B2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за</w:t>
      </w:r>
      <w:r w:rsidR="000D6761" w:rsidRPr="00104B2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јавне</w:t>
      </w:r>
      <w:r w:rsidR="000D6761" w:rsidRPr="00104B2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набавке</w:t>
      </w:r>
      <w:r w:rsidR="000D6761" w:rsidRPr="00104B2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БиХ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– </w:t>
      </w:r>
    </w:p>
    <w:p w14:paraId="671E44FF" w14:textId="2F60A6E6" w:rsidR="00104B20" w:rsidRPr="00104B20" w:rsidRDefault="005E4D1F" w:rsidP="00104B20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Екстерни</w:t>
      </w:r>
      <w:r w:rsidR="000D6761" w:rsidRPr="00104B2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извори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</w:p>
    <w:p w14:paraId="1359C097" w14:textId="0C2B4028" w:rsidR="000D6761" w:rsidRPr="00104B20" w:rsidRDefault="005E4D1F" w:rsidP="00104B2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Кориштење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више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извора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омогућава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триангулацију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података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смањује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ризик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интерпретативних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пристрасности</w:t>
      </w:r>
      <w:r w:rsidR="000D6761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67A11A01" w14:textId="516A2895" w:rsidR="0021204D" w:rsidRPr="00FE0DD3" w:rsidRDefault="0021204D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</w:p>
    <w:p w14:paraId="2A6F914D" w14:textId="4901164A" w:rsidR="0021204D" w:rsidRPr="00DF1112" w:rsidRDefault="0021204D" w:rsidP="002120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pt-BR"/>
          <w14:ligatures w14:val="none"/>
        </w:rPr>
      </w:pPr>
      <w:r w:rsidRPr="00DF111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pt-BR"/>
          <w14:ligatures w14:val="none"/>
        </w:rPr>
        <w:lastRenderedPageBreak/>
        <w:t xml:space="preserve">2. </w:t>
      </w:r>
      <w:r w:rsidR="005E4D1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pt-BR"/>
          <w14:ligatures w14:val="none"/>
        </w:rPr>
        <w:t>Конкуренција</w:t>
      </w:r>
      <w:r w:rsidRPr="00DF111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pt-BR"/>
          <w14:ligatures w14:val="none"/>
        </w:rPr>
        <w:t>у</w:t>
      </w:r>
      <w:r w:rsidRPr="00DF111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pt-BR"/>
          <w14:ligatures w14:val="none"/>
        </w:rPr>
        <w:t xml:space="preserve"> 2022. </w:t>
      </w:r>
      <w:r w:rsidR="005E4D1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pt-BR"/>
          <w14:ligatures w14:val="none"/>
        </w:rPr>
        <w:t>години</w:t>
      </w:r>
    </w:p>
    <w:p w14:paraId="1525F0E5" w14:textId="38F7AEC6" w:rsidR="0021204D" w:rsidRPr="00DF1112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 w:rsidRPr="00DF1112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2.1.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Број</w:t>
      </w:r>
      <w:r w:rsidRPr="00DF1112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Pr="00DF1112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структура</w:t>
      </w:r>
      <w:r w:rsidRPr="00DF1112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понуда</w:t>
      </w:r>
      <w:r w:rsidRPr="00DF1112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према</w:t>
      </w:r>
      <w:r w:rsidRPr="00DF1112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врстама</w:t>
      </w:r>
      <w:r w:rsidRPr="00DF1112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поступака</w:t>
      </w:r>
      <w:r w:rsidRPr="00DF1112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Pr="00DF1112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вриједносним</w:t>
      </w:r>
      <w:r w:rsidRPr="00DF1112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разредима</w:t>
      </w:r>
    </w:p>
    <w:p w14:paraId="6B974453" w14:textId="516054FA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Просјечни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2022.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години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износио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25251AC4" w14:textId="21218EA5" w:rsidR="0021204D" w:rsidRPr="0021204D" w:rsidRDefault="0021204D" w:rsidP="002120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2,14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примљених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понуда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по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поступку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1B80995D" w14:textId="44A9C829" w:rsidR="0021204D" w:rsidRDefault="0021204D" w:rsidP="002120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1,93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прихватљиве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понуде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D5680A2" w14:textId="1A917E9A" w:rsidR="0083107B" w:rsidRPr="0021204D" w:rsidRDefault="0083107B" w:rsidP="0083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w:drawing>
          <wp:inline distT="0" distB="0" distL="0" distR="0" wp14:anchorId="5AB292D1" wp14:editId="4A3FC7ED">
            <wp:extent cx="5931535" cy="2858530"/>
            <wp:effectExtent l="0" t="0" r="12065" b="18415"/>
            <wp:docPr id="33" name="Chart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F883531" w14:textId="293F307A" w:rsidR="0021204D" w:rsidRPr="00FE0DD3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То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доња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граница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пристојну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конкуренцију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али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далеко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испод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нивоа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који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сматра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здравим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(3+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176D5951" w14:textId="61BCBF75" w:rsidR="0021204D" w:rsidRPr="00FE0DD3" w:rsidRDefault="005E4D1F" w:rsidP="00212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а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Поглавље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="00BB6080" w:rsidRPr="00FE0D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Висока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вриједност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ограничена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конкуренција</w:t>
      </w:r>
    </w:p>
    <w:p w14:paraId="3B50EAE1" w14:textId="1306630D" w:rsidR="0083107B" w:rsidRPr="00FE0DD3" w:rsidRDefault="005E4D1F" w:rsidP="008310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Поглавље</w:t>
      </w:r>
      <w:r w:rsidR="0083107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B6080" w:rsidRPr="00FE0DD3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="0083107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носи</w:t>
      </w:r>
      <w:r w:rsidR="0083107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око</w:t>
      </w:r>
      <w:r w:rsidR="0083107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3107B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83,93%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укупне</w:t>
      </w:r>
      <w:r w:rsidR="0083107B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вриједности</w:t>
      </w:r>
      <w:r w:rsidR="0083107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(3,70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млрд</w:t>
      </w:r>
      <w:r w:rsidR="0083107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КМ</w:t>
      </w:r>
      <w:r w:rsidR="0083107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83107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3107B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26,46%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броја</w:t>
      </w:r>
      <w:r w:rsidR="0083107B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уговора</w:t>
      </w:r>
      <w:r w:rsidR="0083107B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(57.169)</w:t>
      </w:r>
      <w:r w:rsidR="0083107B" w:rsidRPr="00FE0D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tbl>
      <w:tblPr>
        <w:tblW w:w="9270" w:type="dxa"/>
        <w:tblInd w:w="-10" w:type="dxa"/>
        <w:tblLook w:val="04A0" w:firstRow="1" w:lastRow="0" w:firstColumn="1" w:lastColumn="0" w:noHBand="0" w:noVBand="1"/>
      </w:tblPr>
      <w:tblGrid>
        <w:gridCol w:w="957"/>
        <w:gridCol w:w="2595"/>
        <w:gridCol w:w="1716"/>
        <w:gridCol w:w="1899"/>
        <w:gridCol w:w="2103"/>
      </w:tblGrid>
      <w:tr w:rsidR="002B0726" w:rsidRPr="009A7BFF" w14:paraId="1F9225FC" w14:textId="77777777" w:rsidTr="00067A3D">
        <w:trPr>
          <w:trHeight w:val="293"/>
        </w:trPr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FA7186F" w14:textId="77777777" w:rsidR="002B0726" w:rsidRPr="00FE0DD3" w:rsidRDefault="002B0726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0D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8610898" w14:textId="22C620F0" w:rsidR="002B0726" w:rsidRPr="0083107B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Поглавље</w:t>
            </w:r>
            <w:r w:rsidR="002B0726" w:rsidRPr="00831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B60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D937C22" w14:textId="2D24750C" w:rsidR="002B0726" w:rsidRPr="0083107B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Поглавље</w:t>
            </w:r>
            <w:r w:rsidR="002B0726" w:rsidRPr="00831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B60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E0DFC6D" w14:textId="3DCDDF99" w:rsidR="002B0726" w:rsidRPr="0083107B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Анекс</w:t>
            </w:r>
            <w:r w:rsidR="002B0726" w:rsidRPr="00831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B60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999E279" w14:textId="349AF45B" w:rsidR="002B0726" w:rsidRPr="0083107B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Укупно</w:t>
            </w:r>
            <w:r w:rsidR="002B0726" w:rsidRPr="00831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КМ</w:t>
            </w:r>
          </w:p>
        </w:tc>
      </w:tr>
      <w:tr w:rsidR="002B0726" w:rsidRPr="009A7BFF" w14:paraId="77B14D6F" w14:textId="77777777" w:rsidTr="00794102">
        <w:trPr>
          <w:trHeight w:val="64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4C7E8EC" w14:textId="0A6F1082" w:rsidR="002B0726" w:rsidRPr="0083107B" w:rsidRDefault="005E4D1F" w:rsidP="007941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КМ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43F7E4D" w14:textId="77777777" w:rsidR="002B0726" w:rsidRPr="0083107B" w:rsidRDefault="002B0726" w:rsidP="007941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sz w:val="18"/>
                <w:szCs w:val="18"/>
              </w:rPr>
              <w:t>3.701.675.680,72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2DD1E46" w14:textId="77777777" w:rsidR="002B0726" w:rsidRPr="0083107B" w:rsidRDefault="002B0726" w:rsidP="007941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sz w:val="18"/>
                <w:szCs w:val="18"/>
              </w:rPr>
              <w:t>341.250.763,05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7DF3627" w14:textId="77777777" w:rsidR="002B0726" w:rsidRPr="0083107B" w:rsidRDefault="002B0726" w:rsidP="007941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sz w:val="18"/>
                <w:szCs w:val="18"/>
              </w:rPr>
              <w:t>367.315.050,73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92D3E07" w14:textId="77777777" w:rsidR="002B0726" w:rsidRPr="0083107B" w:rsidRDefault="002B0726" w:rsidP="007941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sz w:val="18"/>
                <w:szCs w:val="18"/>
              </w:rPr>
              <w:t>4.410.241.494,50</w:t>
            </w:r>
          </w:p>
        </w:tc>
      </w:tr>
      <w:tr w:rsidR="002B0726" w:rsidRPr="009A7BFF" w14:paraId="61471564" w14:textId="77777777" w:rsidTr="00794102">
        <w:trPr>
          <w:trHeight w:val="540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492AF" w14:textId="77777777" w:rsidR="002B0726" w:rsidRPr="0083107B" w:rsidRDefault="002B0726" w:rsidP="007941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AC2B0D" w14:textId="77777777" w:rsidR="002B0726" w:rsidRPr="0083107B" w:rsidRDefault="002B0726" w:rsidP="007941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83.93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FC65A4" w14:textId="77777777" w:rsidR="002B0726" w:rsidRPr="0083107B" w:rsidRDefault="002B0726" w:rsidP="007941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7.74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D42F33" w14:textId="77777777" w:rsidR="002B0726" w:rsidRPr="0083107B" w:rsidRDefault="002B0726" w:rsidP="007941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8.33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23A393" w14:textId="77777777" w:rsidR="002B0726" w:rsidRPr="0083107B" w:rsidRDefault="002B0726" w:rsidP="007941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100</w:t>
            </w:r>
          </w:p>
        </w:tc>
      </w:tr>
    </w:tbl>
    <w:p w14:paraId="25232289" w14:textId="4FF0B397" w:rsidR="00E41BB3" w:rsidRDefault="00E41BB3" w:rsidP="00E41BB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noProof/>
        </w:rPr>
        <w:lastRenderedPageBreak/>
        <w:drawing>
          <wp:inline distT="0" distB="0" distL="0" distR="0" wp14:anchorId="60268F2E" wp14:editId="1E07B631">
            <wp:extent cx="4849026" cy="2027555"/>
            <wp:effectExtent l="0" t="0" r="8890" b="1079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57C6E11" w14:textId="77777777" w:rsidR="00747F81" w:rsidRDefault="00747F81" w:rsidP="00E41BB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080"/>
        <w:gridCol w:w="2070"/>
        <w:gridCol w:w="2160"/>
        <w:gridCol w:w="2430"/>
        <w:gridCol w:w="1530"/>
      </w:tblGrid>
      <w:tr w:rsidR="00747F81" w:rsidRPr="00FE0DD3" w14:paraId="57026FB0" w14:textId="77777777" w:rsidTr="00794102">
        <w:trPr>
          <w:jc w:val="center"/>
        </w:trPr>
        <w:tc>
          <w:tcPr>
            <w:tcW w:w="9270" w:type="dxa"/>
            <w:gridSpan w:val="5"/>
            <w:shd w:val="clear" w:color="auto" w:fill="FFFF00"/>
          </w:tcPr>
          <w:p w14:paraId="3EAEE7E1" w14:textId="1E296FCF" w:rsidR="00747F81" w:rsidRPr="0083107B" w:rsidRDefault="005E4D1F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Укупни</w:t>
            </w:r>
            <w:r w:rsidR="00747F81" w:rsidRPr="008310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број</w:t>
            </w:r>
            <w:r w:rsidR="00747F81" w:rsidRPr="008310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закључених</w:t>
            </w:r>
            <w:r w:rsidR="00747F81" w:rsidRPr="008310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47F81" w:rsidRPr="008310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додијељених</w:t>
            </w:r>
            <w:r w:rsidR="00747F81" w:rsidRPr="008310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уговора</w:t>
            </w:r>
            <w:r w:rsidR="00747F81" w:rsidRPr="008310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747F81" w:rsidRPr="0083107B">
              <w:rPr>
                <w:rFonts w:ascii="Times New Roman" w:hAnsi="Times New Roman" w:cs="Times New Roman"/>
                <w:sz w:val="18"/>
                <w:szCs w:val="18"/>
              </w:rPr>
              <w:t xml:space="preserve"> 2022.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години</w:t>
            </w:r>
          </w:p>
        </w:tc>
      </w:tr>
      <w:tr w:rsidR="00747F81" w:rsidRPr="007628BE" w14:paraId="273C5849" w14:textId="77777777" w:rsidTr="00794102">
        <w:trPr>
          <w:jc w:val="center"/>
        </w:trPr>
        <w:tc>
          <w:tcPr>
            <w:tcW w:w="1080" w:type="dxa"/>
            <w:shd w:val="clear" w:color="auto" w:fill="FFFF00"/>
          </w:tcPr>
          <w:p w14:paraId="1383A1AF" w14:textId="77777777" w:rsidR="00747F81" w:rsidRPr="0083107B" w:rsidRDefault="00747F81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00"/>
          </w:tcPr>
          <w:p w14:paraId="3BDE7BE2" w14:textId="29D9622D" w:rsidR="00747F81" w:rsidRPr="0083107B" w:rsidRDefault="005E4D1F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Поглавље</w:t>
            </w:r>
            <w:r w:rsidR="00747F81" w:rsidRPr="008310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B608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2160" w:type="dxa"/>
            <w:shd w:val="clear" w:color="auto" w:fill="FFFF00"/>
          </w:tcPr>
          <w:p w14:paraId="6143679D" w14:textId="4F20C040" w:rsidR="00747F81" w:rsidRPr="0083107B" w:rsidRDefault="005E4D1F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Поглавље</w:t>
            </w:r>
            <w:r w:rsidR="00747F81" w:rsidRPr="008310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B6080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2430" w:type="dxa"/>
            <w:shd w:val="clear" w:color="auto" w:fill="FFFF00"/>
          </w:tcPr>
          <w:p w14:paraId="71EADC0E" w14:textId="379EFD4A" w:rsidR="00747F81" w:rsidRPr="0083107B" w:rsidRDefault="005E4D1F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Анекс</w:t>
            </w:r>
            <w:r w:rsidR="00747F81" w:rsidRPr="008310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B6080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1530" w:type="dxa"/>
            <w:shd w:val="clear" w:color="auto" w:fill="FFFF00"/>
          </w:tcPr>
          <w:p w14:paraId="5A09061C" w14:textId="1F33F3B1" w:rsidR="00747F81" w:rsidRPr="0083107B" w:rsidRDefault="005E4D1F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Укупно</w:t>
            </w:r>
          </w:p>
        </w:tc>
      </w:tr>
      <w:tr w:rsidR="00747F81" w:rsidRPr="007628BE" w14:paraId="342560F1" w14:textId="77777777" w:rsidTr="00794102">
        <w:trPr>
          <w:trHeight w:val="242"/>
          <w:jc w:val="center"/>
        </w:trPr>
        <w:tc>
          <w:tcPr>
            <w:tcW w:w="1080" w:type="dxa"/>
            <w:shd w:val="clear" w:color="auto" w:fill="FFFF00"/>
          </w:tcPr>
          <w:p w14:paraId="5113A283" w14:textId="4D2F3D0A" w:rsidR="00747F81" w:rsidRPr="0083107B" w:rsidRDefault="005E4D1F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2070" w:type="dxa"/>
            <w:shd w:val="clear" w:color="auto" w:fill="FFFF00"/>
            <w:vAlign w:val="bottom"/>
          </w:tcPr>
          <w:p w14:paraId="794E6C0E" w14:textId="77777777" w:rsidR="00747F81" w:rsidRPr="0083107B" w:rsidRDefault="00747F81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 w:rsidRPr="0083107B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57.169</w:t>
            </w:r>
          </w:p>
        </w:tc>
        <w:tc>
          <w:tcPr>
            <w:tcW w:w="2160" w:type="dxa"/>
            <w:shd w:val="clear" w:color="auto" w:fill="FFFF00"/>
          </w:tcPr>
          <w:p w14:paraId="50944793" w14:textId="77777777" w:rsidR="00747F81" w:rsidRPr="0083107B" w:rsidRDefault="00747F81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133.853</w:t>
            </w:r>
          </w:p>
        </w:tc>
        <w:tc>
          <w:tcPr>
            <w:tcW w:w="2430" w:type="dxa"/>
            <w:shd w:val="clear" w:color="auto" w:fill="FFFF00"/>
          </w:tcPr>
          <w:p w14:paraId="638AC138" w14:textId="77777777" w:rsidR="00747F81" w:rsidRPr="0083107B" w:rsidRDefault="00747F81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sz w:val="18"/>
                <w:szCs w:val="18"/>
              </w:rPr>
              <w:t>25.017</w:t>
            </w:r>
          </w:p>
        </w:tc>
        <w:tc>
          <w:tcPr>
            <w:tcW w:w="1530" w:type="dxa"/>
            <w:shd w:val="clear" w:color="auto" w:fill="FFFF00"/>
          </w:tcPr>
          <w:p w14:paraId="5D2373FC" w14:textId="77777777" w:rsidR="00747F81" w:rsidRPr="0083107B" w:rsidRDefault="00747F81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sz w:val="18"/>
                <w:szCs w:val="18"/>
              </w:rPr>
              <w:t>216.039</w:t>
            </w:r>
          </w:p>
        </w:tc>
      </w:tr>
      <w:tr w:rsidR="00747F81" w:rsidRPr="007628BE" w14:paraId="12BEBED0" w14:textId="77777777" w:rsidTr="00794102">
        <w:trPr>
          <w:jc w:val="center"/>
        </w:trPr>
        <w:tc>
          <w:tcPr>
            <w:tcW w:w="1080" w:type="dxa"/>
          </w:tcPr>
          <w:p w14:paraId="1904C197" w14:textId="77777777" w:rsidR="00747F81" w:rsidRPr="0083107B" w:rsidRDefault="00747F81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070" w:type="dxa"/>
          </w:tcPr>
          <w:p w14:paraId="66836EA2" w14:textId="77777777" w:rsidR="00747F81" w:rsidRPr="0083107B" w:rsidRDefault="00747F81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sz w:val="18"/>
                <w:szCs w:val="18"/>
              </w:rPr>
              <w:t>26.46</w:t>
            </w:r>
          </w:p>
        </w:tc>
        <w:tc>
          <w:tcPr>
            <w:tcW w:w="2160" w:type="dxa"/>
          </w:tcPr>
          <w:p w14:paraId="5B382035" w14:textId="77777777" w:rsidR="00747F81" w:rsidRPr="0083107B" w:rsidRDefault="00747F81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sz w:val="18"/>
                <w:szCs w:val="18"/>
              </w:rPr>
              <w:t>61.96</w:t>
            </w:r>
          </w:p>
        </w:tc>
        <w:tc>
          <w:tcPr>
            <w:tcW w:w="2430" w:type="dxa"/>
          </w:tcPr>
          <w:p w14:paraId="1338658D" w14:textId="77777777" w:rsidR="00747F81" w:rsidRPr="0083107B" w:rsidRDefault="00747F81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sz w:val="18"/>
                <w:szCs w:val="18"/>
              </w:rPr>
              <w:t>11.58</w:t>
            </w:r>
          </w:p>
        </w:tc>
        <w:tc>
          <w:tcPr>
            <w:tcW w:w="1530" w:type="dxa"/>
          </w:tcPr>
          <w:p w14:paraId="759C92F5" w14:textId="77777777" w:rsidR="00747F81" w:rsidRPr="0083107B" w:rsidRDefault="00747F81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</w:tbl>
    <w:p w14:paraId="3AAAE424" w14:textId="77777777" w:rsidR="00747F81" w:rsidRDefault="00747F81" w:rsidP="00747F81">
      <w:pPr>
        <w:rPr>
          <w:i/>
        </w:rPr>
      </w:pPr>
    </w:p>
    <w:p w14:paraId="200C3715" w14:textId="0FA9D622" w:rsidR="00747F81" w:rsidRPr="007628BE" w:rsidRDefault="00747F81" w:rsidP="00747F81">
      <w:pPr>
        <w:rPr>
          <w:i/>
        </w:rPr>
      </w:pPr>
      <w:r>
        <w:rPr>
          <w:noProof/>
        </w:rPr>
        <w:drawing>
          <wp:inline distT="0" distB="0" distL="0" distR="0" wp14:anchorId="01887DFE" wp14:editId="30E6D799">
            <wp:extent cx="5860111" cy="2075180"/>
            <wp:effectExtent l="0" t="0" r="7620" b="127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DADC6C2" w14:textId="77777777" w:rsidR="00747F81" w:rsidRDefault="00747F81" w:rsidP="00E41BB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</w:p>
    <w:p w14:paraId="2BCAD499" w14:textId="7192A9A7" w:rsidR="0021204D" w:rsidRPr="0021204D" w:rsidRDefault="005E4D1F" w:rsidP="002120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Отворени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поступак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домира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F4AB445" w14:textId="1EC912E7" w:rsidR="0021204D" w:rsidRPr="00FE0DD3" w:rsidRDefault="005E4D1F" w:rsidP="0021204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око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85%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готово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сав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E64DA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Поглављеу</w:t>
      </w:r>
      <w:r w:rsidR="00FE64D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I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0FF287DF" w14:textId="76F1406F" w:rsidR="0021204D" w:rsidRPr="00FE0DD3" w:rsidRDefault="005E4D1F" w:rsidP="0021204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формално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ствара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највише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али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врло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често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само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1–2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поступку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620E4F6" w14:textId="4FD922B9" w:rsidR="0083107B" w:rsidRPr="0083107B" w:rsidRDefault="005E4D1F" w:rsidP="0083107B">
      <w:pPr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lang w:val="pt-BR"/>
        </w:rPr>
        <w:t>Вриједност</w:t>
      </w:r>
      <w:r w:rsidR="0083107B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додијељених</w:t>
      </w:r>
      <w:r w:rsidR="0083107B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уговора</w:t>
      </w:r>
      <w:r w:rsidR="0083107B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83107B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отвореном</w:t>
      </w:r>
      <w:r w:rsidR="0083107B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поступку</w:t>
      </w:r>
      <w:r w:rsidR="0083107B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83107B" w:rsidRPr="00FE0DD3">
        <w:rPr>
          <w:rFonts w:ascii="Times New Roman" w:hAnsi="Times New Roman" w:cs="Times New Roman"/>
        </w:rPr>
        <w:t xml:space="preserve"> 2022. </w:t>
      </w:r>
      <w:r>
        <w:rPr>
          <w:rFonts w:ascii="Times New Roman" w:hAnsi="Times New Roman" w:cs="Times New Roman"/>
          <w:lang w:val="pt-BR"/>
        </w:rPr>
        <w:t>години</w:t>
      </w:r>
      <w:r w:rsidR="0083107B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83107B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износио</w:t>
      </w:r>
      <w:r w:rsidR="0083107B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укупно</w:t>
      </w:r>
      <w:r w:rsidR="0083107B" w:rsidRPr="00FE0DD3">
        <w:rPr>
          <w:rFonts w:ascii="Times New Roman" w:hAnsi="Times New Roman" w:cs="Times New Roman"/>
        </w:rPr>
        <w:t xml:space="preserve"> </w:t>
      </w:r>
      <w:r w:rsidR="0083107B" w:rsidRPr="00FE0DD3">
        <w:rPr>
          <w:rFonts w:ascii="Times New Roman" w:hAnsi="Times New Roman" w:cs="Times New Roman"/>
          <w:b/>
          <w:color w:val="000000"/>
        </w:rPr>
        <w:t xml:space="preserve">3.149.952.181,49 </w:t>
      </w:r>
      <w:r>
        <w:rPr>
          <w:rFonts w:ascii="Times New Roman" w:hAnsi="Times New Roman" w:cs="Times New Roman"/>
          <w:color w:val="000000"/>
          <w:lang w:val="pt-BR"/>
        </w:rPr>
        <w:t>КМ</w:t>
      </w:r>
      <w:r w:rsidR="0083107B" w:rsidRPr="00FE0DD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pt-BR"/>
        </w:rPr>
        <w:t>или</w:t>
      </w:r>
      <w:r w:rsidR="0083107B" w:rsidRPr="00FE0DD3">
        <w:rPr>
          <w:rFonts w:ascii="Times New Roman" w:hAnsi="Times New Roman" w:cs="Times New Roman"/>
          <w:color w:val="000000"/>
        </w:rPr>
        <w:t xml:space="preserve"> </w:t>
      </w:r>
      <w:r w:rsidR="0083107B" w:rsidRPr="00FE0DD3">
        <w:rPr>
          <w:rFonts w:ascii="Times New Roman" w:hAnsi="Times New Roman" w:cs="Times New Roman"/>
          <w:bCs/>
          <w:iCs/>
          <w:color w:val="000000"/>
        </w:rPr>
        <w:t>85.09</w:t>
      </w:r>
      <w:r w:rsidR="0083107B" w:rsidRPr="00FE0DD3">
        <w:rPr>
          <w:rFonts w:ascii="Times New Roman" w:hAnsi="Times New Roman" w:cs="Times New Roman"/>
          <w:b/>
          <w:bCs/>
          <w:iCs/>
          <w:color w:val="000000"/>
        </w:rPr>
        <w:t xml:space="preserve"> </w:t>
      </w:r>
      <w:r w:rsidR="0083107B" w:rsidRPr="00FE0DD3">
        <w:rPr>
          <w:rFonts w:ascii="Times New Roman" w:hAnsi="Times New Roman" w:cs="Times New Roman"/>
          <w:iCs/>
          <w:color w:val="000000"/>
        </w:rPr>
        <w:t xml:space="preserve">% </w:t>
      </w:r>
      <w:r>
        <w:rPr>
          <w:rFonts w:ascii="Times New Roman" w:hAnsi="Times New Roman" w:cs="Times New Roman"/>
          <w:iCs/>
          <w:color w:val="000000"/>
          <w:lang w:val="pt-BR"/>
        </w:rPr>
        <w:t>од</w:t>
      </w:r>
      <w:r w:rsidR="0083107B" w:rsidRPr="00FE0DD3"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  <w:lang w:val="pt-BR"/>
        </w:rPr>
        <w:t>свих</w:t>
      </w:r>
      <w:r w:rsidR="0083107B" w:rsidRPr="00FE0DD3"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  <w:lang w:val="pt-BR"/>
        </w:rPr>
        <w:t>свих</w:t>
      </w:r>
      <w:r w:rsidR="0083107B" w:rsidRPr="00FE0DD3"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  <w:lang w:val="pt-BR"/>
        </w:rPr>
        <w:t>додијељених</w:t>
      </w:r>
      <w:r w:rsidR="0083107B" w:rsidRPr="00FE0DD3"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  <w:lang w:val="pt-BR"/>
        </w:rPr>
        <w:t>уговора</w:t>
      </w:r>
      <w:r w:rsidR="0083107B" w:rsidRPr="00FE0DD3"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  <w:lang w:val="pt-BR"/>
        </w:rPr>
        <w:t>у</w:t>
      </w:r>
      <w:r w:rsidR="0083107B" w:rsidRPr="00FE0DD3"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  <w:lang w:val="pt-BR"/>
        </w:rPr>
        <w:t>поступцима</w:t>
      </w:r>
      <w:r w:rsidR="0083107B" w:rsidRPr="00FE0DD3">
        <w:rPr>
          <w:rFonts w:ascii="Times New Roman" w:hAnsi="Times New Roman" w:cs="Times New Roman"/>
          <w:iCs/>
          <w:color w:val="000000"/>
        </w:rPr>
        <w:t xml:space="preserve"> „</w:t>
      </w:r>
      <w:r>
        <w:rPr>
          <w:rFonts w:ascii="Times New Roman" w:hAnsi="Times New Roman" w:cs="Times New Roman"/>
          <w:iCs/>
          <w:color w:val="000000"/>
          <w:lang w:val="pt-BR"/>
        </w:rPr>
        <w:t>Поглавља</w:t>
      </w:r>
      <w:r w:rsidR="0083107B" w:rsidRPr="00FE0DD3">
        <w:rPr>
          <w:rFonts w:ascii="Times New Roman" w:hAnsi="Times New Roman" w:cs="Times New Roman"/>
          <w:iCs/>
          <w:color w:val="000000"/>
        </w:rPr>
        <w:t xml:space="preserve"> </w:t>
      </w:r>
      <w:r w:rsidR="00BB6080" w:rsidRPr="00FE0DD3">
        <w:rPr>
          <w:rFonts w:ascii="Times New Roman" w:hAnsi="Times New Roman" w:cs="Times New Roman"/>
          <w:iCs/>
          <w:color w:val="000000"/>
        </w:rPr>
        <w:t>I</w:t>
      </w:r>
      <w:r w:rsidR="0083107B" w:rsidRPr="00FE0DD3">
        <w:rPr>
          <w:rFonts w:ascii="Times New Roman" w:hAnsi="Times New Roman" w:cs="Times New Roman"/>
          <w:iCs/>
          <w:color w:val="000000"/>
        </w:rPr>
        <w:t xml:space="preserve">“. </w:t>
      </w:r>
      <w:r>
        <w:rPr>
          <w:rFonts w:ascii="Times New Roman" w:hAnsi="Times New Roman" w:cs="Times New Roman"/>
          <w:iCs/>
          <w:color w:val="000000"/>
        </w:rPr>
        <w:t>Односно</w:t>
      </w:r>
      <w:r w:rsidR="0083107B" w:rsidRPr="0083107B">
        <w:rPr>
          <w:rFonts w:ascii="Times New Roman" w:hAnsi="Times New Roman" w:cs="Times New Roman"/>
          <w:iCs/>
          <w:color w:val="000000"/>
        </w:rPr>
        <w:t xml:space="preserve"> 71.42 % % </w:t>
      </w:r>
      <w:r>
        <w:rPr>
          <w:rFonts w:ascii="Times New Roman" w:hAnsi="Times New Roman" w:cs="Times New Roman"/>
          <w:iCs/>
          <w:color w:val="000000"/>
        </w:rPr>
        <w:t>од</w:t>
      </w:r>
      <w:r w:rsidR="0083107B" w:rsidRPr="0083107B"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</w:rPr>
        <w:t>свих</w:t>
      </w:r>
      <w:r w:rsidR="0083107B" w:rsidRPr="0083107B"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</w:rPr>
        <w:t>додијељених</w:t>
      </w:r>
      <w:r w:rsidR="0083107B" w:rsidRPr="0083107B"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</w:rPr>
        <w:t>уговора</w:t>
      </w:r>
      <w:r w:rsidR="0083107B" w:rsidRPr="0083107B"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</w:rPr>
        <w:t>у</w:t>
      </w:r>
      <w:r w:rsidR="0083107B" w:rsidRPr="0083107B">
        <w:rPr>
          <w:rFonts w:ascii="Times New Roman" w:hAnsi="Times New Roman" w:cs="Times New Roman"/>
          <w:iCs/>
          <w:color w:val="000000"/>
        </w:rPr>
        <w:t xml:space="preserve"> 2022. </w:t>
      </w:r>
      <w:r>
        <w:rPr>
          <w:rFonts w:ascii="Times New Roman" w:hAnsi="Times New Roman" w:cs="Times New Roman"/>
          <w:iCs/>
          <w:color w:val="000000"/>
        </w:rPr>
        <w:t>години</w:t>
      </w:r>
      <w:r w:rsidR="0083107B" w:rsidRPr="0083107B">
        <w:rPr>
          <w:rFonts w:ascii="Times New Roman" w:hAnsi="Times New Roman" w:cs="Times New Roman"/>
          <w:iCs/>
          <w:color w:val="000000"/>
        </w:rPr>
        <w:t>.</w:t>
      </w:r>
    </w:p>
    <w:p w14:paraId="66533074" w14:textId="070EB647" w:rsidR="0021204D" w:rsidRPr="00FE0DD3" w:rsidRDefault="005E4D1F" w:rsidP="002120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Преговарачки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поступак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без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објаве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ПБО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076C60F" w14:textId="4487306A" w:rsidR="0021204D" w:rsidRPr="00FE0DD3" w:rsidRDefault="005E4D1F" w:rsidP="0021204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цца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295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мил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КМ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(≈ 8%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E64DA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Поглављеа</w:t>
      </w:r>
      <w:r w:rsidR="00FE64D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I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>),</w:t>
      </w:r>
    </w:p>
    <w:p w14:paraId="0798E0DB" w14:textId="1B18E1B9" w:rsidR="0021204D" w:rsidRPr="00FE0DD3" w:rsidRDefault="005E4D1F" w:rsidP="0021204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lastRenderedPageBreak/>
        <w:t>врло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мали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типично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1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поступку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B3E3731" w14:textId="24520C27" w:rsidR="0083107B" w:rsidRPr="00FE0DD3" w:rsidRDefault="005E4D1F" w:rsidP="0083107B">
      <w:pPr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lang w:val="pt-BR"/>
        </w:rPr>
        <w:t>Вриједност</w:t>
      </w:r>
      <w:r w:rsidR="0083107B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додијељених</w:t>
      </w:r>
      <w:r w:rsidR="0083107B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уговора</w:t>
      </w:r>
      <w:r w:rsidR="0083107B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83107B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преговарачком</w:t>
      </w:r>
      <w:r w:rsidR="0083107B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поступку</w:t>
      </w:r>
      <w:r w:rsidR="0083107B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без</w:t>
      </w:r>
      <w:r w:rsidR="0083107B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објаве</w:t>
      </w:r>
      <w:r w:rsidR="0083107B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обавјештења</w:t>
      </w:r>
      <w:r w:rsidR="0083107B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83107B" w:rsidRPr="00FE0DD3">
        <w:rPr>
          <w:rFonts w:ascii="Times New Roman" w:hAnsi="Times New Roman" w:cs="Times New Roman"/>
        </w:rPr>
        <w:t xml:space="preserve"> 2022. </w:t>
      </w:r>
      <w:r>
        <w:rPr>
          <w:rFonts w:ascii="Times New Roman" w:hAnsi="Times New Roman" w:cs="Times New Roman"/>
          <w:lang w:val="pt-BR"/>
        </w:rPr>
        <w:t>години</w:t>
      </w:r>
      <w:r w:rsidR="0083107B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83107B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износио</w:t>
      </w:r>
      <w:r w:rsidR="0083107B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укупно</w:t>
      </w:r>
      <w:r w:rsidR="0083107B" w:rsidRPr="00FE0DD3">
        <w:rPr>
          <w:rFonts w:ascii="Times New Roman" w:hAnsi="Times New Roman" w:cs="Times New Roman"/>
        </w:rPr>
        <w:t xml:space="preserve"> </w:t>
      </w:r>
      <w:r w:rsidR="0083107B" w:rsidRPr="00FE0DD3">
        <w:rPr>
          <w:rFonts w:ascii="Times New Roman" w:hAnsi="Times New Roman" w:cs="Times New Roman"/>
          <w:b/>
          <w:color w:val="000000"/>
        </w:rPr>
        <w:t xml:space="preserve">295.148.572,35 </w:t>
      </w:r>
      <w:r>
        <w:rPr>
          <w:rFonts w:ascii="Times New Roman" w:hAnsi="Times New Roman" w:cs="Times New Roman"/>
          <w:color w:val="000000"/>
          <w:lang w:val="pt-BR"/>
        </w:rPr>
        <w:t>КМ</w:t>
      </w:r>
      <w:r w:rsidR="0083107B" w:rsidRPr="00FE0DD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pt-BR"/>
        </w:rPr>
        <w:t>или</w:t>
      </w:r>
      <w:r w:rsidR="0083107B" w:rsidRPr="00FE0DD3">
        <w:rPr>
          <w:rFonts w:ascii="Times New Roman" w:hAnsi="Times New Roman" w:cs="Times New Roman"/>
          <w:color w:val="000000"/>
        </w:rPr>
        <w:t xml:space="preserve"> </w:t>
      </w:r>
      <w:r w:rsidR="0083107B" w:rsidRPr="00FE0DD3">
        <w:rPr>
          <w:rFonts w:ascii="Times New Roman" w:hAnsi="Times New Roman" w:cs="Times New Roman"/>
          <w:b/>
          <w:bCs/>
          <w:iCs/>
          <w:color w:val="000000"/>
        </w:rPr>
        <w:t xml:space="preserve">7.97 </w:t>
      </w:r>
      <w:r w:rsidR="0083107B" w:rsidRPr="00FE0DD3">
        <w:rPr>
          <w:rFonts w:ascii="Times New Roman" w:hAnsi="Times New Roman" w:cs="Times New Roman"/>
          <w:iCs/>
          <w:color w:val="000000"/>
        </w:rPr>
        <w:t xml:space="preserve">% </w:t>
      </w:r>
      <w:r>
        <w:rPr>
          <w:rFonts w:ascii="Times New Roman" w:hAnsi="Times New Roman" w:cs="Times New Roman"/>
          <w:iCs/>
          <w:color w:val="000000"/>
          <w:lang w:val="pt-BR"/>
        </w:rPr>
        <w:t>од</w:t>
      </w:r>
      <w:r w:rsidR="0083107B" w:rsidRPr="00FE0DD3"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  <w:lang w:val="pt-BR"/>
        </w:rPr>
        <w:t>свих</w:t>
      </w:r>
      <w:r w:rsidR="0083107B" w:rsidRPr="00FE0DD3"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  <w:lang w:val="pt-BR"/>
        </w:rPr>
        <w:t>додијељених</w:t>
      </w:r>
      <w:r w:rsidR="0083107B" w:rsidRPr="00FE0DD3"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  <w:lang w:val="pt-BR"/>
        </w:rPr>
        <w:t>уговора</w:t>
      </w:r>
      <w:r w:rsidR="0083107B" w:rsidRPr="00FE0DD3"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  <w:lang w:val="pt-BR"/>
        </w:rPr>
        <w:t>у</w:t>
      </w:r>
      <w:r w:rsidR="0083107B" w:rsidRPr="00FE0DD3"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  <w:lang w:val="pt-BR"/>
        </w:rPr>
        <w:t>поступцима</w:t>
      </w:r>
      <w:r w:rsidR="0083107B" w:rsidRPr="00FE0DD3">
        <w:rPr>
          <w:rFonts w:ascii="Times New Roman" w:hAnsi="Times New Roman" w:cs="Times New Roman"/>
          <w:iCs/>
          <w:color w:val="000000"/>
        </w:rPr>
        <w:t xml:space="preserve"> „</w:t>
      </w:r>
      <w:r w:rsidR="00FE64DA">
        <w:rPr>
          <w:rFonts w:ascii="Times New Roman" w:hAnsi="Times New Roman" w:cs="Times New Roman"/>
          <w:iCs/>
          <w:color w:val="000000"/>
          <w:lang w:val="pt-BR"/>
        </w:rPr>
        <w:t>Поглављеа</w:t>
      </w:r>
      <w:r w:rsidR="00FE64DA" w:rsidRPr="00FE0DD3">
        <w:rPr>
          <w:rFonts w:ascii="Times New Roman" w:hAnsi="Times New Roman" w:cs="Times New Roman"/>
          <w:iCs/>
          <w:color w:val="000000"/>
        </w:rPr>
        <w:t xml:space="preserve"> I</w:t>
      </w:r>
      <w:r w:rsidR="0083107B" w:rsidRPr="00FE0DD3">
        <w:rPr>
          <w:rFonts w:ascii="Times New Roman" w:hAnsi="Times New Roman" w:cs="Times New Roman"/>
          <w:iCs/>
          <w:color w:val="000000"/>
        </w:rPr>
        <w:t>“</w:t>
      </w:r>
      <w:r w:rsidR="0083107B" w:rsidRPr="00FE0DD3">
        <w:rPr>
          <w:rFonts w:ascii="Times New Roman" w:hAnsi="Times New Roman" w:cs="Times New Roman"/>
          <w:iCs/>
          <w:color w:val="000000" w:themeColor="text1"/>
        </w:rPr>
        <w:t xml:space="preserve">, </w:t>
      </w:r>
      <w:r>
        <w:rPr>
          <w:rFonts w:ascii="Times New Roman" w:hAnsi="Times New Roman" w:cs="Times New Roman"/>
          <w:iCs/>
          <w:color w:val="000000" w:themeColor="text1"/>
          <w:lang w:val="pt-BR"/>
        </w:rPr>
        <w:t>односно</w:t>
      </w:r>
      <w:r w:rsidR="0083107B" w:rsidRPr="00FE0DD3">
        <w:rPr>
          <w:rFonts w:ascii="Times New Roman" w:hAnsi="Times New Roman" w:cs="Times New Roman"/>
          <w:iCs/>
          <w:color w:val="000000" w:themeColor="text1"/>
        </w:rPr>
        <w:t xml:space="preserve"> 6.69 % </w:t>
      </w:r>
      <w:r>
        <w:rPr>
          <w:rFonts w:ascii="Times New Roman" w:hAnsi="Times New Roman" w:cs="Times New Roman"/>
          <w:iCs/>
          <w:color w:val="000000" w:themeColor="text1"/>
          <w:lang w:val="pt-BR"/>
        </w:rPr>
        <w:t>од</w:t>
      </w:r>
      <w:r w:rsidR="0083107B" w:rsidRPr="00FE0DD3">
        <w:rPr>
          <w:rFonts w:ascii="Times New Roman" w:hAnsi="Times New Roman" w:cs="Times New Roman"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lang w:val="pt-BR"/>
        </w:rPr>
        <w:t>свих</w:t>
      </w:r>
      <w:r w:rsidR="0083107B" w:rsidRPr="00FE0DD3">
        <w:rPr>
          <w:rFonts w:ascii="Times New Roman" w:hAnsi="Times New Roman" w:cs="Times New Roman"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lang w:val="pt-BR"/>
        </w:rPr>
        <w:t>додијељених</w:t>
      </w:r>
      <w:r w:rsidR="0083107B" w:rsidRPr="00FE0DD3">
        <w:rPr>
          <w:rFonts w:ascii="Times New Roman" w:hAnsi="Times New Roman" w:cs="Times New Roman"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lang w:val="pt-BR"/>
        </w:rPr>
        <w:t>уговора</w:t>
      </w:r>
      <w:r w:rsidR="0083107B" w:rsidRPr="00FE0DD3">
        <w:rPr>
          <w:rFonts w:ascii="Times New Roman" w:hAnsi="Times New Roman" w:cs="Times New Roman"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lang w:val="pt-BR"/>
        </w:rPr>
        <w:t>у</w:t>
      </w:r>
      <w:r w:rsidR="0083107B" w:rsidRPr="00FE0DD3">
        <w:rPr>
          <w:rFonts w:ascii="Times New Roman" w:hAnsi="Times New Roman" w:cs="Times New Roman"/>
          <w:iCs/>
          <w:color w:val="000000" w:themeColor="text1"/>
        </w:rPr>
        <w:t xml:space="preserve"> 2022. </w:t>
      </w:r>
      <w:r>
        <w:rPr>
          <w:rFonts w:ascii="Times New Roman" w:hAnsi="Times New Roman" w:cs="Times New Roman"/>
          <w:iCs/>
          <w:color w:val="000000" w:themeColor="text1"/>
          <w:lang w:val="pt-BR"/>
        </w:rPr>
        <w:t>години</w:t>
      </w:r>
      <w:r w:rsidR="0083107B" w:rsidRPr="00FE0DD3">
        <w:rPr>
          <w:rFonts w:ascii="Times New Roman" w:hAnsi="Times New Roman" w:cs="Times New Roman"/>
          <w:iCs/>
          <w:color w:val="000000" w:themeColor="text1"/>
        </w:rPr>
        <w:t>.</w:t>
      </w:r>
    </w:p>
    <w:p w14:paraId="664ED9AF" w14:textId="2075C0BC" w:rsidR="00165372" w:rsidRPr="00FE0DD3" w:rsidRDefault="005E4D1F" w:rsidP="00F45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Ефекат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Иако</w:t>
      </w:r>
      <w:r w:rsidR="0016537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уговорни</w:t>
      </w:r>
      <w:r w:rsidR="0016537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органи</w:t>
      </w:r>
      <w:r w:rsidR="0016537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најчешће</w:t>
      </w:r>
      <w:r w:rsidR="0016537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примјењују</w:t>
      </w:r>
      <w:r w:rsidR="0016537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отворени</w:t>
      </w:r>
      <w:r w:rsidR="0016537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</w:t>
      </w:r>
      <w:r w:rsidR="0016537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тржиште</w:t>
      </w:r>
      <w:r w:rsidR="0016537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</w:t>
      </w:r>
      <w:r w:rsidR="0016537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реагује</w:t>
      </w:r>
      <w:r w:rsidR="0016537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адекватним</w:t>
      </w:r>
      <w:r w:rsidR="0016537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учешћем</w:t>
      </w:r>
      <w:r w:rsidR="0016537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па</w:t>
      </w:r>
      <w:r w:rsidR="0016537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16537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ствара</w:t>
      </w:r>
      <w:r w:rsidR="0016537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ситуација</w:t>
      </w:r>
      <w:r w:rsidR="0016537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привидне</w:t>
      </w:r>
      <w:r w:rsidR="0016537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конкуренције</w:t>
      </w:r>
      <w:r w:rsidR="0016537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16537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којој</w:t>
      </w:r>
      <w:r w:rsidR="0016537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транспарентност</w:t>
      </w:r>
      <w:r w:rsidR="0016537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форме</w:t>
      </w:r>
      <w:r w:rsidR="0016537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није</w:t>
      </w:r>
      <w:r w:rsidR="0016537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праћена</w:t>
      </w:r>
      <w:r w:rsidR="0016537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стварним</w:t>
      </w:r>
      <w:r w:rsidR="0016537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тржишним</w:t>
      </w:r>
      <w:r w:rsidR="0016537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такмичењем</w:t>
      </w:r>
      <w:r w:rsidR="00165372" w:rsidRPr="00FE0D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E78B611" w14:textId="7F2F5370" w:rsidR="0021204D" w:rsidRPr="00FE0DD3" w:rsidRDefault="005E4D1F" w:rsidP="00165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б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Поглавље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="00BB60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s-Latn-BA"/>
          <w14:ligatures w14:val="none"/>
        </w:rPr>
        <w:t>V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Велики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број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поступака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али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врло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мала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конкуренција</w:t>
      </w:r>
    </w:p>
    <w:p w14:paraId="67ED7806" w14:textId="1742D07B" w:rsidR="0021204D" w:rsidRPr="00FE0DD3" w:rsidRDefault="005E4D1F" w:rsidP="002120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Поглавље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B6080" w:rsidRPr="00FE0DD3">
        <w:rPr>
          <w:rFonts w:ascii="Times New Roman" w:eastAsia="Times New Roman" w:hAnsi="Times New Roman" w:cs="Times New Roman"/>
          <w:kern w:val="0"/>
          <w14:ligatures w14:val="none"/>
        </w:rPr>
        <w:t>V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носи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7,74%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вриједности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али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чак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61,96%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броја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уговора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(133.853)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C2273D2" w14:textId="4A7BC0CC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Директни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споразум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70C1F981" w14:textId="03FAE878" w:rsidR="0021204D" w:rsidRPr="0021204D" w:rsidRDefault="0021204D" w:rsidP="002120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110.494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уговора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C8DCF3C" w14:textId="5DA42759" w:rsidR="0021204D" w:rsidRPr="0021204D" w:rsidRDefault="005E4D1F" w:rsidP="002120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око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44,44%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вриједности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Поглавља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BB60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475416ED" w14:textId="516829E4" w:rsidR="0021204D" w:rsidRDefault="005E4D1F" w:rsidP="002120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готово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увијек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само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један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14:ligatures w14:val="none"/>
        </w:rPr>
        <w:t>добављач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14:ligatures w14:val="none"/>
        </w:rPr>
        <w:t>без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надметања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E7C2759" w14:textId="26A3B5D0" w:rsidR="00B82B56" w:rsidRPr="00B82B56" w:rsidRDefault="005E4D1F" w:rsidP="00B82B56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Вриједност</w:t>
      </w:r>
      <w:r w:rsidR="00B82B56" w:rsidRPr="00B82B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додијељених</w:t>
      </w:r>
      <w:r w:rsidR="00B82B56" w:rsidRPr="00B82B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уговора</w:t>
      </w:r>
      <w:r w:rsidR="00B82B56" w:rsidRPr="00B82B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путем</w:t>
      </w:r>
      <w:r w:rsidR="00B82B56" w:rsidRPr="00B82B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директног</w:t>
      </w:r>
      <w:r w:rsidR="00B82B56" w:rsidRPr="00B82B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споразума</w:t>
      </w:r>
      <w:r w:rsidR="00B82B56" w:rsidRPr="00B82B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B82B56" w:rsidRPr="00B82B56">
        <w:rPr>
          <w:rFonts w:ascii="Times New Roman" w:hAnsi="Times New Roman" w:cs="Times New Roman"/>
        </w:rPr>
        <w:t xml:space="preserve"> 2022. </w:t>
      </w:r>
      <w:r>
        <w:rPr>
          <w:rFonts w:ascii="Times New Roman" w:hAnsi="Times New Roman" w:cs="Times New Roman"/>
        </w:rPr>
        <w:t>години</w:t>
      </w:r>
      <w:r w:rsidR="00B82B56" w:rsidRPr="00B82B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износи</w:t>
      </w:r>
      <w:r w:rsidR="00B82B56" w:rsidRPr="00B82B56">
        <w:rPr>
          <w:rFonts w:ascii="Times New Roman" w:hAnsi="Times New Roman" w:cs="Times New Roman"/>
        </w:rPr>
        <w:t xml:space="preserve"> </w:t>
      </w:r>
      <w:r w:rsidR="00B82B56" w:rsidRPr="00B82B56">
        <w:rPr>
          <w:rFonts w:ascii="Times New Roman" w:hAnsi="Times New Roman" w:cs="Times New Roman"/>
          <w:b/>
          <w:color w:val="000000"/>
        </w:rPr>
        <w:t xml:space="preserve">151.635.804,40 </w:t>
      </w:r>
      <w:r>
        <w:rPr>
          <w:rFonts w:ascii="Times New Roman" w:hAnsi="Times New Roman" w:cs="Times New Roman"/>
          <w:color w:val="000000"/>
        </w:rPr>
        <w:t>КМ</w:t>
      </w:r>
      <w:r w:rsidR="00B82B56" w:rsidRPr="00B82B5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или</w:t>
      </w:r>
      <w:r w:rsidR="00B82B56" w:rsidRPr="00B82B56">
        <w:rPr>
          <w:rFonts w:ascii="Times New Roman" w:hAnsi="Times New Roman" w:cs="Times New Roman"/>
          <w:color w:val="000000"/>
        </w:rPr>
        <w:t xml:space="preserve"> </w:t>
      </w:r>
      <w:r w:rsidR="00B82B56" w:rsidRPr="00B82B56">
        <w:rPr>
          <w:rFonts w:ascii="Times New Roman" w:hAnsi="Times New Roman" w:cs="Times New Roman"/>
        </w:rPr>
        <w:t xml:space="preserve">44.44 </w:t>
      </w:r>
      <w:r w:rsidR="00B82B56" w:rsidRPr="00B82B56">
        <w:rPr>
          <w:rFonts w:ascii="Times New Roman" w:hAnsi="Times New Roman" w:cs="Times New Roman"/>
          <w:color w:val="000000"/>
        </w:rPr>
        <w:t xml:space="preserve">% </w:t>
      </w:r>
      <w:r>
        <w:rPr>
          <w:rFonts w:ascii="Times New Roman" w:hAnsi="Times New Roman" w:cs="Times New Roman"/>
          <w:color w:val="000000"/>
        </w:rPr>
        <w:t>од</w:t>
      </w:r>
      <w:r w:rsidR="00B82B56" w:rsidRPr="00B82B5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свих</w:t>
      </w:r>
      <w:r w:rsidR="00B82B56" w:rsidRPr="00B82B5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додијељених</w:t>
      </w:r>
      <w:r w:rsidR="00B82B56" w:rsidRPr="00B82B5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уговора</w:t>
      </w:r>
      <w:r w:rsidR="00B82B56" w:rsidRPr="00B82B5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="00B82B56" w:rsidRPr="00B82B5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поступцима</w:t>
      </w:r>
      <w:r w:rsidR="00B82B56" w:rsidRPr="00B82B56">
        <w:rPr>
          <w:rFonts w:ascii="Times New Roman" w:hAnsi="Times New Roman" w:cs="Times New Roman"/>
          <w:color w:val="000000"/>
        </w:rPr>
        <w:t xml:space="preserve"> „</w:t>
      </w:r>
      <w:r>
        <w:rPr>
          <w:rFonts w:ascii="Times New Roman" w:hAnsi="Times New Roman" w:cs="Times New Roman"/>
          <w:color w:val="000000"/>
        </w:rPr>
        <w:t>Поглавља</w:t>
      </w:r>
      <w:r w:rsidR="00B82B56" w:rsidRPr="00B82B56">
        <w:rPr>
          <w:rFonts w:ascii="Times New Roman" w:hAnsi="Times New Roman" w:cs="Times New Roman"/>
          <w:color w:val="000000"/>
        </w:rPr>
        <w:t xml:space="preserve"> </w:t>
      </w:r>
      <w:r w:rsidR="00BB6080">
        <w:rPr>
          <w:rFonts w:ascii="Times New Roman" w:hAnsi="Times New Roman" w:cs="Times New Roman"/>
          <w:color w:val="000000"/>
        </w:rPr>
        <w:t>V</w:t>
      </w:r>
      <w:r w:rsidR="00B82B56" w:rsidRPr="00B82B56">
        <w:rPr>
          <w:rFonts w:ascii="Times New Roman" w:hAnsi="Times New Roman" w:cs="Times New Roman"/>
          <w:color w:val="000000" w:themeColor="text1"/>
        </w:rPr>
        <w:t xml:space="preserve">“, </w:t>
      </w:r>
      <w:r>
        <w:rPr>
          <w:rFonts w:ascii="Times New Roman" w:hAnsi="Times New Roman" w:cs="Times New Roman"/>
          <w:color w:val="000000" w:themeColor="text1"/>
        </w:rPr>
        <w:t>односно</w:t>
      </w:r>
      <w:r w:rsidR="00B82B56" w:rsidRPr="00B82B56">
        <w:rPr>
          <w:rFonts w:ascii="Times New Roman" w:hAnsi="Times New Roman" w:cs="Times New Roman"/>
          <w:color w:val="000000" w:themeColor="text1"/>
        </w:rPr>
        <w:t xml:space="preserve"> 3.44% </w:t>
      </w:r>
      <w:r>
        <w:rPr>
          <w:rFonts w:ascii="Times New Roman" w:hAnsi="Times New Roman" w:cs="Times New Roman"/>
          <w:color w:val="000000" w:themeColor="text1"/>
        </w:rPr>
        <w:t>од</w:t>
      </w:r>
      <w:r w:rsidR="00B82B56" w:rsidRPr="00B82B5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свих</w:t>
      </w:r>
      <w:r w:rsidR="00B82B56" w:rsidRPr="00B82B5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додијељених</w:t>
      </w:r>
      <w:r w:rsidR="00B82B56" w:rsidRPr="00B82B5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уговора</w:t>
      </w:r>
      <w:r w:rsidR="00B82B56" w:rsidRPr="00B82B5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у</w:t>
      </w:r>
      <w:r w:rsidR="00B82B56" w:rsidRPr="00B82B56">
        <w:rPr>
          <w:rFonts w:ascii="Times New Roman" w:hAnsi="Times New Roman" w:cs="Times New Roman"/>
          <w:color w:val="000000" w:themeColor="text1"/>
        </w:rPr>
        <w:t xml:space="preserve"> 2022. </w:t>
      </w:r>
      <w:r>
        <w:rPr>
          <w:rFonts w:ascii="Times New Roman" w:hAnsi="Times New Roman" w:cs="Times New Roman"/>
          <w:color w:val="000000" w:themeColor="text1"/>
        </w:rPr>
        <w:t>години</w:t>
      </w:r>
      <w:r w:rsidR="00B82B56" w:rsidRPr="00B82B56">
        <w:rPr>
          <w:rFonts w:ascii="Times New Roman" w:hAnsi="Times New Roman" w:cs="Times New Roman"/>
          <w:color w:val="000000" w:themeColor="text1"/>
        </w:rPr>
        <w:t>.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3160"/>
        <w:gridCol w:w="3850"/>
        <w:gridCol w:w="2340"/>
      </w:tblGrid>
      <w:tr w:rsidR="00B82B56" w:rsidRPr="00B82B56" w14:paraId="57663F78" w14:textId="77777777" w:rsidTr="00794102">
        <w:trPr>
          <w:trHeight w:val="2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00"/>
            <w:vAlign w:val="bottom"/>
            <w:hideMark/>
          </w:tcPr>
          <w:p w14:paraId="6A35929C" w14:textId="3B3A10EF" w:rsidR="00B82B56" w:rsidRPr="00B82B56" w:rsidRDefault="005E4D1F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Директни</w:t>
            </w:r>
            <w:r w:rsidR="00B82B56" w:rsidRPr="00B82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поступак</w:t>
            </w:r>
          </w:p>
        </w:tc>
        <w:tc>
          <w:tcPr>
            <w:tcW w:w="3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4466D20" w14:textId="04094DD7" w:rsidR="00B82B56" w:rsidRPr="00B82B56" w:rsidRDefault="005E4D1F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Вриједност</w:t>
            </w:r>
            <w:r w:rsidR="00B82B56" w:rsidRPr="00B82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уговора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3CD5212B" w14:textId="0771C6F8" w:rsidR="00B82B56" w:rsidRPr="00B82B56" w:rsidRDefault="005E4D1F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Број</w:t>
            </w:r>
          </w:p>
        </w:tc>
      </w:tr>
      <w:tr w:rsidR="00B82B56" w:rsidRPr="00B82B56" w14:paraId="6057FCC1" w14:textId="77777777" w:rsidTr="00794102">
        <w:trPr>
          <w:trHeight w:val="255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DB810" w14:textId="13A888A1" w:rsidR="00B82B56" w:rsidRPr="00B82B56" w:rsidRDefault="005E4D1F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Робе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AECA5" w14:textId="77777777" w:rsidR="00B82B56" w:rsidRPr="00B82B56" w:rsidRDefault="00B82B56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2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70.229.192,31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453D93" w14:textId="77777777" w:rsidR="00B82B56" w:rsidRPr="00B82B56" w:rsidRDefault="00B82B56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2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53.747</w:t>
            </w:r>
          </w:p>
        </w:tc>
      </w:tr>
      <w:tr w:rsidR="00B82B56" w:rsidRPr="00B82B56" w14:paraId="41FC2EE5" w14:textId="77777777" w:rsidTr="00794102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8557A" w14:textId="230F67B2" w:rsidR="00B82B56" w:rsidRPr="00B82B56" w:rsidRDefault="005E4D1F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Услуге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3E93C" w14:textId="77777777" w:rsidR="00B82B56" w:rsidRPr="00B82B56" w:rsidRDefault="00B82B56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2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70.591.968,33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7577A51" w14:textId="77777777" w:rsidR="00B82B56" w:rsidRPr="00B82B56" w:rsidRDefault="00B82B56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2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54.149</w:t>
            </w:r>
          </w:p>
        </w:tc>
      </w:tr>
      <w:tr w:rsidR="00B82B56" w:rsidRPr="00B82B56" w14:paraId="3E4A08D0" w14:textId="77777777" w:rsidTr="00794102">
        <w:trPr>
          <w:trHeight w:val="2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ED3F" w14:textId="45CF9FAC" w:rsidR="00B82B56" w:rsidRPr="00B82B56" w:rsidRDefault="005E4D1F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Радови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D4C7F" w14:textId="77777777" w:rsidR="00B82B56" w:rsidRPr="00B82B56" w:rsidRDefault="00B82B56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2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10.814.643,76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4C9056" w14:textId="77777777" w:rsidR="00B82B56" w:rsidRPr="00B82B56" w:rsidRDefault="00B82B56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2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2.598</w:t>
            </w:r>
          </w:p>
        </w:tc>
      </w:tr>
      <w:tr w:rsidR="00B82B56" w:rsidRPr="00B82B56" w14:paraId="715C7BCF" w14:textId="77777777" w:rsidTr="00794102">
        <w:trPr>
          <w:trHeight w:val="3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40D7AC" w14:textId="153DB6A4" w:rsidR="00B82B56" w:rsidRPr="00B82B56" w:rsidRDefault="005E4D1F" w:rsidP="0079410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Укупно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79EBF99" w14:textId="77777777" w:rsidR="00B82B56" w:rsidRPr="00B82B56" w:rsidRDefault="00B82B56" w:rsidP="0079410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82B5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151.635.804,40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290973" w14:textId="77777777" w:rsidR="00B82B56" w:rsidRPr="00B82B56" w:rsidRDefault="00B82B56" w:rsidP="0079410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82B5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110.494</w:t>
            </w:r>
          </w:p>
        </w:tc>
      </w:tr>
    </w:tbl>
    <w:p w14:paraId="19479541" w14:textId="77777777" w:rsidR="00B82B56" w:rsidRPr="0021204D" w:rsidRDefault="00B82B56" w:rsidP="00B82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004BAE" w14:textId="250280AE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Конкурентски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захтјев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66413ED" w14:textId="5E02FFAD" w:rsidR="0021204D" w:rsidRPr="0021204D" w:rsidRDefault="0021204D" w:rsidP="002120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23.359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уговора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685D2A09" w14:textId="7C6F116E" w:rsidR="0021204D" w:rsidRPr="0021204D" w:rsidRDefault="005E4D1F" w:rsidP="002120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око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55,56%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вриједности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BB60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Поглавља V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9229913" w14:textId="7545B0DF" w:rsidR="0021204D" w:rsidRDefault="005E4D1F" w:rsidP="002120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просјеку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1–2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понуде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2EA30EF" w14:textId="34B95B9D" w:rsidR="002F0041" w:rsidRPr="002F0041" w:rsidRDefault="005E4D1F" w:rsidP="002F0041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Вриједност</w:t>
      </w:r>
      <w:r w:rsidR="002F0041" w:rsidRPr="002F00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додијељених</w:t>
      </w:r>
      <w:r w:rsidR="002F0041" w:rsidRPr="002F00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уговора</w:t>
      </w:r>
      <w:r w:rsidR="002F0041" w:rsidRPr="002F00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2F0041" w:rsidRPr="002F00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конкурентском</w:t>
      </w:r>
      <w:r w:rsidR="002F0041" w:rsidRPr="002F00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захтјеву</w:t>
      </w:r>
      <w:r w:rsidR="002F0041" w:rsidRPr="002F00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</w:t>
      </w:r>
      <w:r w:rsidR="002F0041" w:rsidRPr="002F00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доставу</w:t>
      </w:r>
      <w:r w:rsidR="002F0041" w:rsidRPr="002F00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понуда</w:t>
      </w:r>
      <w:r w:rsidR="002F0041" w:rsidRPr="002F00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2F0041" w:rsidRPr="002F0041">
        <w:rPr>
          <w:rFonts w:ascii="Times New Roman" w:hAnsi="Times New Roman" w:cs="Times New Roman"/>
        </w:rPr>
        <w:t xml:space="preserve"> 2022. </w:t>
      </w:r>
      <w:r>
        <w:rPr>
          <w:rFonts w:ascii="Times New Roman" w:hAnsi="Times New Roman" w:cs="Times New Roman"/>
        </w:rPr>
        <w:t>години</w:t>
      </w:r>
      <w:r w:rsidR="002F0041" w:rsidRPr="002F00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износи</w:t>
      </w:r>
      <w:r w:rsidR="002F0041" w:rsidRPr="002F0041">
        <w:rPr>
          <w:rFonts w:ascii="Times New Roman" w:hAnsi="Times New Roman" w:cs="Times New Roman"/>
        </w:rPr>
        <w:t xml:space="preserve"> </w:t>
      </w:r>
      <w:r w:rsidR="002F0041" w:rsidRPr="002F0041">
        <w:rPr>
          <w:rFonts w:ascii="Times New Roman" w:hAnsi="Times New Roman" w:cs="Times New Roman"/>
          <w:b/>
          <w:bCs/>
          <w:color w:val="000000"/>
        </w:rPr>
        <w:t xml:space="preserve">189.614.958,65 </w:t>
      </w:r>
      <w:r>
        <w:rPr>
          <w:rFonts w:ascii="Times New Roman" w:hAnsi="Times New Roman" w:cs="Times New Roman"/>
          <w:color w:val="000000"/>
        </w:rPr>
        <w:t>КМ</w:t>
      </w:r>
      <w:r w:rsidR="002F0041" w:rsidRPr="002F004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или</w:t>
      </w:r>
      <w:r w:rsidR="002F0041" w:rsidRPr="002F0041">
        <w:rPr>
          <w:rFonts w:ascii="Times New Roman" w:hAnsi="Times New Roman" w:cs="Times New Roman"/>
          <w:color w:val="000000"/>
        </w:rPr>
        <w:t xml:space="preserve"> 55.56 % </w:t>
      </w:r>
      <w:r>
        <w:rPr>
          <w:rFonts w:ascii="Times New Roman" w:hAnsi="Times New Roman" w:cs="Times New Roman"/>
          <w:color w:val="000000"/>
        </w:rPr>
        <w:t>од</w:t>
      </w:r>
      <w:r w:rsidR="002F0041" w:rsidRPr="002F004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свих</w:t>
      </w:r>
      <w:r w:rsidR="002F0041" w:rsidRPr="002F004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додијељених</w:t>
      </w:r>
      <w:r w:rsidR="002F0041" w:rsidRPr="002F004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уговора</w:t>
      </w:r>
      <w:r w:rsidR="002F0041" w:rsidRPr="002F004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="002F0041" w:rsidRPr="002F004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поступцима</w:t>
      </w:r>
      <w:r w:rsidR="002F0041" w:rsidRPr="002F0041">
        <w:rPr>
          <w:rFonts w:ascii="Times New Roman" w:hAnsi="Times New Roman" w:cs="Times New Roman"/>
          <w:color w:val="000000"/>
        </w:rPr>
        <w:t xml:space="preserve"> „</w:t>
      </w:r>
      <w:r w:rsidR="00BB6080">
        <w:rPr>
          <w:rFonts w:ascii="Times New Roman" w:hAnsi="Times New Roman" w:cs="Times New Roman"/>
          <w:color w:val="000000"/>
        </w:rPr>
        <w:t>Поглавља V</w:t>
      </w:r>
      <w:r w:rsidR="002F0041" w:rsidRPr="002F0041">
        <w:rPr>
          <w:rFonts w:ascii="Times New Roman" w:hAnsi="Times New Roman" w:cs="Times New Roman"/>
          <w:color w:val="000000"/>
        </w:rPr>
        <w:t xml:space="preserve">“, </w:t>
      </w:r>
      <w:r>
        <w:rPr>
          <w:rFonts w:ascii="Times New Roman" w:hAnsi="Times New Roman" w:cs="Times New Roman"/>
          <w:color w:val="000000" w:themeColor="text1"/>
        </w:rPr>
        <w:t>односно</w:t>
      </w:r>
      <w:r w:rsidR="002F0041" w:rsidRPr="002F0041">
        <w:rPr>
          <w:rFonts w:ascii="Times New Roman" w:hAnsi="Times New Roman" w:cs="Times New Roman"/>
          <w:color w:val="000000" w:themeColor="text1"/>
        </w:rPr>
        <w:t xml:space="preserve"> 4.30 % </w:t>
      </w:r>
      <w:r>
        <w:rPr>
          <w:rFonts w:ascii="Times New Roman" w:hAnsi="Times New Roman" w:cs="Times New Roman"/>
          <w:color w:val="000000" w:themeColor="text1"/>
        </w:rPr>
        <w:t>од</w:t>
      </w:r>
      <w:r w:rsidR="002F0041" w:rsidRPr="002F004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свих</w:t>
      </w:r>
      <w:r w:rsidR="002F0041" w:rsidRPr="002F004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додијељених</w:t>
      </w:r>
      <w:r w:rsidR="002F0041" w:rsidRPr="002F004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уговора</w:t>
      </w:r>
      <w:r w:rsidR="002F0041" w:rsidRPr="002F004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у</w:t>
      </w:r>
      <w:r w:rsidR="002F0041" w:rsidRPr="002F0041">
        <w:rPr>
          <w:rFonts w:ascii="Times New Roman" w:hAnsi="Times New Roman" w:cs="Times New Roman"/>
          <w:color w:val="000000" w:themeColor="text1"/>
        </w:rPr>
        <w:t xml:space="preserve"> 2022. </w:t>
      </w:r>
      <w:r>
        <w:rPr>
          <w:rFonts w:ascii="Times New Roman" w:hAnsi="Times New Roman" w:cs="Times New Roman"/>
          <w:color w:val="000000" w:themeColor="text1"/>
        </w:rPr>
        <w:t>години</w:t>
      </w:r>
      <w:r w:rsidR="002F0041" w:rsidRPr="002F0041">
        <w:rPr>
          <w:rFonts w:ascii="Times New Roman" w:hAnsi="Times New Roman" w:cs="Times New Roman"/>
          <w:color w:val="000000" w:themeColor="text1"/>
        </w:rPr>
        <w:t>.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3160"/>
        <w:gridCol w:w="3620"/>
        <w:gridCol w:w="2570"/>
      </w:tblGrid>
      <w:tr w:rsidR="002F0041" w:rsidRPr="00686E5E" w14:paraId="465A4B61" w14:textId="77777777" w:rsidTr="00794102">
        <w:trPr>
          <w:trHeight w:val="51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00"/>
            <w:vAlign w:val="bottom"/>
            <w:hideMark/>
          </w:tcPr>
          <w:p w14:paraId="346F4E46" w14:textId="60E51A5D" w:rsidR="002F0041" w:rsidRPr="002F0041" w:rsidRDefault="005E4D1F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Конкурентски</w:t>
            </w:r>
            <w:r w:rsidR="002F0041" w:rsidRPr="002F00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захтјев</w:t>
            </w:r>
            <w:r w:rsidR="002F0041" w:rsidRPr="002F00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2F0041" w:rsidRPr="002F00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доставу</w:t>
            </w:r>
            <w:r w:rsidR="002F0041" w:rsidRPr="002F00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понуда</w:t>
            </w:r>
          </w:p>
        </w:tc>
        <w:tc>
          <w:tcPr>
            <w:tcW w:w="3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D1AAD0C" w14:textId="1CF2F097" w:rsidR="002F0041" w:rsidRPr="002F0041" w:rsidRDefault="005E4D1F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Вриједност</w:t>
            </w:r>
            <w:r w:rsidR="002F0041" w:rsidRPr="002F00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уговора</w:t>
            </w:r>
          </w:p>
        </w:tc>
        <w:tc>
          <w:tcPr>
            <w:tcW w:w="25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736D6220" w14:textId="3A2567EA" w:rsidR="002F0041" w:rsidRPr="002F0041" w:rsidRDefault="005E4D1F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Број</w:t>
            </w:r>
          </w:p>
        </w:tc>
      </w:tr>
      <w:tr w:rsidR="002F0041" w:rsidRPr="00686E5E" w14:paraId="566963ED" w14:textId="77777777" w:rsidTr="00794102">
        <w:trPr>
          <w:trHeight w:val="255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A957E" w14:textId="36362DC1" w:rsidR="002F0041" w:rsidRPr="002F0041" w:rsidRDefault="005E4D1F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Робе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5C0AA" w14:textId="77777777" w:rsidR="002F0041" w:rsidRPr="002F0041" w:rsidRDefault="002F0041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0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103.703.370,89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8D14F3" w14:textId="77777777" w:rsidR="002F0041" w:rsidRPr="002F0041" w:rsidRDefault="002F0041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0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13.421</w:t>
            </w:r>
          </w:p>
        </w:tc>
      </w:tr>
      <w:tr w:rsidR="002F0041" w:rsidRPr="00686E5E" w14:paraId="038A29F8" w14:textId="77777777" w:rsidTr="00794102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B5709" w14:textId="5BF39B70" w:rsidR="002F0041" w:rsidRPr="002F0041" w:rsidRDefault="005E4D1F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Услуге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6C93D" w14:textId="77777777" w:rsidR="002F0041" w:rsidRPr="002F0041" w:rsidRDefault="002F0041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0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44.983.068,99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8530240" w14:textId="77777777" w:rsidR="002F0041" w:rsidRPr="002F0041" w:rsidRDefault="002F0041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0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8.321</w:t>
            </w:r>
          </w:p>
        </w:tc>
      </w:tr>
      <w:tr w:rsidR="002F0041" w:rsidRPr="00686E5E" w14:paraId="4E6B1EF1" w14:textId="77777777" w:rsidTr="00794102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8C4F7" w14:textId="4DBA9B32" w:rsidR="002F0041" w:rsidRPr="002F0041" w:rsidRDefault="005E4D1F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Радови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92893" w14:textId="77777777" w:rsidR="002F0041" w:rsidRPr="002F0041" w:rsidRDefault="002F0041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0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40.928.518,77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0065802" w14:textId="77777777" w:rsidR="002F0041" w:rsidRPr="002F0041" w:rsidRDefault="002F0041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0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1.617</w:t>
            </w:r>
          </w:p>
        </w:tc>
      </w:tr>
      <w:tr w:rsidR="002F0041" w:rsidRPr="00686E5E" w14:paraId="12DE8EAB" w14:textId="77777777" w:rsidTr="00794102">
        <w:trPr>
          <w:trHeight w:val="2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8ED1B3" w14:textId="0C1A746A" w:rsidR="002F0041" w:rsidRPr="002F0041" w:rsidRDefault="005E4D1F" w:rsidP="0079410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Укупно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80FAB2D" w14:textId="77777777" w:rsidR="002F0041" w:rsidRPr="002F0041" w:rsidRDefault="002F0041" w:rsidP="0079410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F00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189.614.958,65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C26AD99" w14:textId="77777777" w:rsidR="002F0041" w:rsidRPr="002F0041" w:rsidRDefault="002F0041" w:rsidP="0079410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F00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23.359</w:t>
            </w:r>
          </w:p>
        </w:tc>
      </w:tr>
    </w:tbl>
    <w:p w14:paraId="71A497A9" w14:textId="2BB3BE77" w:rsidR="003F0D39" w:rsidRPr="00FE0DD3" w:rsidRDefault="005E4D1F" w:rsidP="00FC2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Ефекат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FE64DA">
        <w:rPr>
          <w:rFonts w:ascii="Times New Roman" w:eastAsia="Times New Roman" w:hAnsi="Times New Roman" w:cs="Times New Roman"/>
          <w:kern w:val="0"/>
          <w14:ligatures w14:val="none"/>
        </w:rPr>
        <w:t>Поглавље V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значајно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повећава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укупан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број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додијељених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уговора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али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не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број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пристиглих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понуда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чиме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административни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обим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система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шири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несразмјерно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стварном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интензитету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тржишног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надметања</w:t>
      </w:r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Другим</w:t>
      </w:r>
      <w:r w:rsidR="003F0D39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ријечима</w:t>
      </w:r>
      <w:r w:rsidR="003F0D39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раст</w:t>
      </w:r>
      <w:r w:rsidR="003F0D39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формално</w:t>
      </w:r>
      <w:r w:rsidR="003F0D39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проведених</w:t>
      </w:r>
      <w:r w:rsidR="003F0D39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3F0D39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</w:t>
      </w:r>
      <w:r w:rsidR="003F0D39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прати</w:t>
      </w:r>
      <w:r w:rsidR="003F0D39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пропорционално</w:t>
      </w:r>
      <w:r w:rsidR="003F0D39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јачање</w:t>
      </w:r>
      <w:r w:rsidR="003F0D39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конкуренције</w:t>
      </w:r>
    </w:p>
    <w:p w14:paraId="7242B760" w14:textId="22C8DFB3" w:rsidR="0021204D" w:rsidRPr="0021204D" w:rsidRDefault="005E4D1F" w:rsidP="003F0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ц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) </w:t>
      </w:r>
      <w:r w:rsidR="00FE64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Анекс II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Специјализоване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услуге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са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традиционално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ниском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конкуренцијом</w:t>
      </w:r>
    </w:p>
    <w:p w14:paraId="0481C67B" w14:textId="2A31DC9E" w:rsidR="0021204D" w:rsidRPr="0021204D" w:rsidRDefault="005E4D1F" w:rsidP="002120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Вриједност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цца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367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мил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КМ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удио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8,33%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укупне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вриједности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01A7FFAE" w14:textId="68CAB049" w:rsidR="0021204D" w:rsidRPr="0021204D" w:rsidRDefault="0021204D" w:rsidP="002120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25.017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уговора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(11,58%)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5086305" w14:textId="75CEE129" w:rsid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Најважнији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сегмент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су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здравство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социјалне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услуге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(≈ 273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мил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КМ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47F62914" w14:textId="0FD84339" w:rsidR="000B79C9" w:rsidRPr="000B79C9" w:rsidRDefault="005E4D1F" w:rsidP="0021204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Ефект</w:t>
      </w:r>
      <w:r w:rsidR="000B79C9" w:rsidRPr="000B79C9">
        <w:rPr>
          <w:rFonts w:ascii="Times New Roman" w:hAnsi="Times New Roman" w:cs="Times New Roman"/>
          <w:b/>
          <w:bCs/>
        </w:rPr>
        <w:t xml:space="preserve"> :</w:t>
      </w:r>
    </w:p>
    <w:p w14:paraId="5A2A261A" w14:textId="601EA7E1" w:rsidR="0021204D" w:rsidRPr="0021204D" w:rsidRDefault="005E4D1F" w:rsidP="00FC27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</w:rPr>
        <w:t>Ограничен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број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лиценцираних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технички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опремљених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понуђача</w:t>
      </w:r>
      <w:r w:rsidR="00EC3494" w:rsidRPr="00EC349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у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комбинацији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са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високом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учесталошћу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поступака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са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једном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понудом</w:t>
      </w:r>
      <w:r w:rsidR="00EC3494" w:rsidRPr="00EC349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указује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структурну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слабост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тржишта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недовољну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конкурентску</w:t>
      </w:r>
      <w:r w:rsidR="00EC3494" w:rsidRPr="00EC3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динамику</w:t>
      </w:r>
      <w:r w:rsidR="00EC3494">
        <w:t>.</w:t>
      </w:r>
    </w:p>
    <w:p w14:paraId="1E0495D4" w14:textId="19D9F7E4" w:rsidR="0021204D" w:rsidRPr="0021204D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2.2.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Аналитичко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објашњење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показатеља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конкуренције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(2022)</w:t>
      </w:r>
    </w:p>
    <w:p w14:paraId="30F4AC73" w14:textId="75509F1F" w:rsidR="0021204D" w:rsidRPr="0021204D" w:rsidRDefault="005E4D1F" w:rsidP="00747F8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Просјечан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број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примљених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понуда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2,14 /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прихватљивих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1,93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3FC7034" w14:textId="58267C42" w:rsidR="00D22FD3" w:rsidRDefault="005E4D1F" w:rsidP="00627B51">
      <w:pPr>
        <w:spacing w:before="100" w:beforeAutospacing="1" w:after="100" w:afterAutospacing="1" w:line="240" w:lineRule="auto"/>
        <w:ind w:left="720"/>
        <w:jc w:val="both"/>
      </w:pPr>
      <w:r>
        <w:rPr>
          <w:rFonts w:ascii="Times New Roman" w:hAnsi="Times New Roman" w:cs="Times New Roman"/>
        </w:rPr>
        <w:t>Просјечан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број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примљених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понуда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износи</w:t>
      </w:r>
      <w:r w:rsidR="007418FD" w:rsidRPr="00D22FD3">
        <w:rPr>
          <w:rFonts w:ascii="Times New Roman" w:hAnsi="Times New Roman" w:cs="Times New Roman"/>
        </w:rPr>
        <w:t xml:space="preserve"> 2,14, </w:t>
      </w:r>
      <w:r>
        <w:rPr>
          <w:rFonts w:ascii="Times New Roman" w:hAnsi="Times New Roman" w:cs="Times New Roman"/>
        </w:rPr>
        <w:t>док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је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просјек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прихватљивих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понуда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још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нижи</w:t>
      </w:r>
      <w:r w:rsidR="007418FD" w:rsidRPr="00D22FD3">
        <w:rPr>
          <w:rFonts w:ascii="Times New Roman" w:hAnsi="Times New Roman" w:cs="Times New Roman"/>
        </w:rPr>
        <w:t xml:space="preserve"> – 1,93. </w:t>
      </w:r>
      <w:r>
        <w:rPr>
          <w:rFonts w:ascii="Times New Roman" w:hAnsi="Times New Roman" w:cs="Times New Roman"/>
        </w:rPr>
        <w:t>Оваква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структура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директно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указује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слаб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конкуренцијски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притисак</w:t>
      </w:r>
      <w:r w:rsidR="007418FD" w:rsidRPr="00D22FD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са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свега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двије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понуде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просјеку</w:t>
      </w:r>
      <w:r w:rsidR="007418FD" w:rsidRPr="00D22F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простор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значајније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обарање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цијена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стварно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тржишно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надметање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је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ограничен</w:t>
      </w:r>
      <w:r w:rsidR="007418FD" w:rsidRPr="00D22FD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Истовремено</w:t>
      </w:r>
      <w:r w:rsidR="007418FD" w:rsidRPr="00D22F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овако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низак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ниво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учешћа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сугерише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тржиште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функционише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бази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релативно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уског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круга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активних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субјеката</w:t>
      </w:r>
      <w:r w:rsidR="007418FD" w:rsidRPr="00D22F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што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додатно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смањује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вјероватноћу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уласка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нових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понуђача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јачања</w:t>
      </w:r>
      <w:r w:rsidR="007418FD" w:rsidRPr="00D2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конкуренције</w:t>
      </w:r>
      <w:r w:rsidR="007418FD">
        <w:t>.</w:t>
      </w:r>
    </w:p>
    <w:p w14:paraId="4D7C28EC" w14:textId="3424A957" w:rsidR="0021204D" w:rsidRPr="00D22FD3" w:rsidRDefault="005E4D1F" w:rsidP="00747F81">
      <w:pPr>
        <w:pStyle w:val="ListParagraph"/>
        <w:numPr>
          <w:ilvl w:val="0"/>
          <w:numId w:val="74"/>
        </w:num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Висок</w:t>
      </w:r>
      <w:r w:rsidR="0021204D" w:rsidRPr="00D22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удио</w:t>
      </w:r>
      <w:r w:rsidR="0021204D" w:rsidRPr="00D22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прихватљивих</w:t>
      </w:r>
      <w:r w:rsidR="0021204D" w:rsidRPr="00D22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понуда</w:t>
      </w:r>
      <w:r w:rsidR="0021204D" w:rsidRPr="00D22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(~90%)</w:t>
      </w:r>
      <w:r w:rsidR="0021204D" w:rsidRPr="00D22FD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168B70A" w14:textId="2E5393C9" w:rsidR="000D426C" w:rsidRPr="00FE0DD3" w:rsidRDefault="005E4D1F" w:rsidP="00627B51">
      <w:pPr>
        <w:spacing w:before="100" w:beforeAutospacing="1" w:after="100" w:afterAutospacing="1" w:line="240" w:lineRule="auto"/>
        <w:ind w:left="720"/>
        <w:jc w:val="both"/>
      </w:pPr>
      <w:r>
        <w:rPr>
          <w:rFonts w:ascii="Times New Roman" w:hAnsi="Times New Roman" w:cs="Times New Roman"/>
          <w:lang w:val="pt-BR"/>
        </w:rPr>
        <w:lastRenderedPageBreak/>
        <w:t>Висок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удио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прихватљивих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понуда</w:t>
      </w:r>
      <w:r w:rsidR="003861C9" w:rsidRPr="00FE0D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од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око</w:t>
      </w:r>
      <w:r w:rsidR="003861C9" w:rsidRPr="00FE0DD3">
        <w:rPr>
          <w:rFonts w:ascii="Times New Roman" w:hAnsi="Times New Roman" w:cs="Times New Roman"/>
        </w:rPr>
        <w:t xml:space="preserve"> 90%, </w:t>
      </w:r>
      <w:r>
        <w:rPr>
          <w:rFonts w:ascii="Times New Roman" w:hAnsi="Times New Roman" w:cs="Times New Roman"/>
          <w:lang w:val="pt-BR"/>
        </w:rPr>
        <w:t>на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први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поглед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сугерише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да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услови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нису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претјерано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рестриктивни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да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се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већина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понуда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формално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квалификује</w:t>
      </w:r>
      <w:r w:rsidR="003861C9" w:rsidRPr="00FE0DD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pt-BR"/>
        </w:rPr>
        <w:t>Међутим</w:t>
      </w:r>
      <w:r w:rsidR="003861C9" w:rsidRPr="00FE0D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када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се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ови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подаци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посматрају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контексту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чињенице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да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већина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поступака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прима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само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једну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двије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понуде</w:t>
      </w:r>
      <w:r w:rsidR="003861C9" w:rsidRPr="00FE0D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постаје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јасно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да</w:t>
      </w:r>
      <w:r w:rsidR="003861C9" w:rsidRPr="00FE0DD3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  <w:lang w:val="pt-BR"/>
        </w:rPr>
        <w:t>висока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прихватљивост</w:t>
      </w:r>
      <w:r w:rsidR="003861C9" w:rsidRPr="00FE0DD3"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lang w:val="pt-BR"/>
        </w:rPr>
        <w:t>не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одражава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снажну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конкуренцију</w:t>
      </w:r>
      <w:r w:rsidR="003861C9" w:rsidRPr="00FE0D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већ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управо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супротно</w:t>
      </w:r>
      <w:r w:rsidR="003861C9" w:rsidRPr="00FE0DD3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lang w:val="pt-BR"/>
        </w:rPr>
        <w:t>слабо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тржишно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такмичење</w:t>
      </w:r>
      <w:r w:rsidR="003861C9" w:rsidRPr="00FE0DD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pt-BR"/>
        </w:rPr>
        <w:t>Дакле</w:t>
      </w:r>
      <w:r w:rsidR="003861C9" w:rsidRPr="00FE0D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висока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стопа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прихватљивости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резултат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малог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броја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учесника</w:t>
      </w:r>
      <w:r w:rsidR="003861C9" w:rsidRPr="00FE0D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а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не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ширине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динамике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тржишта</w:t>
      </w:r>
      <w:r w:rsidR="003861C9" w:rsidRPr="00FE0D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што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указује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на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ограничену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доступност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избора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за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уговорне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органе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низак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ниво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стварног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тржишног</w:t>
      </w:r>
      <w:r w:rsidR="003861C9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притиска</w:t>
      </w:r>
    </w:p>
    <w:p w14:paraId="74DC8C49" w14:textId="295E661E" w:rsidR="0021204D" w:rsidRPr="00FE0DD3" w:rsidRDefault="005E4D1F" w:rsidP="00747F81">
      <w:pPr>
        <w:pStyle w:val="ListParagraph"/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Преговарачки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поступци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директни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споразуми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78144E0" w14:textId="77777777" w:rsidR="00627B51" w:rsidRPr="00FE0DD3" w:rsidRDefault="00627B51" w:rsidP="00627B5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5CC91170" w14:textId="7F479F8D" w:rsidR="00A92ABA" w:rsidRPr="00FE0DD3" w:rsidRDefault="005E4D1F" w:rsidP="00627B51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Смањити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ослањање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преговарачке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поступке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без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објаве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директне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споразуме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посебно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областима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гдје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постоји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реална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могућност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тржишног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надметања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627B51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Преговарачки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поступци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без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објаве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просјечно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остварују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тек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1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1,5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док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директни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споразуми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преко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110.000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закључених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уговора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годишње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правилу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проводе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без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икаквог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конкурентског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притиска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Оваква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структура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системски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обара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просјечан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смањује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могућност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провјере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тржишне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цијене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повећава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ризик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нетранспарентности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Умјесто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тога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поступке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овим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вриједносним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разредима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треба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кад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год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то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могуће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усмјеравати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конкурентским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процедурама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које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омогућавају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шире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тржишно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учешће</w:t>
      </w:r>
      <w:r w:rsidR="00A92ABA" w:rsidRPr="00FE0D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176F2F5" w14:textId="3358FAC1" w:rsidR="0021204D" w:rsidRPr="00FE0DD3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2.3.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Учесталост</w:t>
      </w: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поступака</w:t>
      </w: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са</w:t>
      </w: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једном</w:t>
      </w: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понудом</w:t>
      </w: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(2022)</w:t>
      </w:r>
    </w:p>
    <w:p w14:paraId="3B535BE6" w14:textId="0DB2A48F" w:rsidR="0021204D" w:rsidRPr="00FE0DD3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Процјењује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2022.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години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7F9578E" w14:textId="76C04A16" w:rsidR="0021204D" w:rsidRPr="00FE0DD3" w:rsidRDefault="0021204D" w:rsidP="00747F8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35–40%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поступака</w:t>
      </w:r>
      <w:r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завршило</w:t>
      </w:r>
      <w:r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</w:t>
      </w:r>
      <w:r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само</w:t>
      </w:r>
      <w:r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једном</w:t>
      </w:r>
      <w:r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понудом</w:t>
      </w:r>
      <w:r w:rsidRPr="00FE0D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8E9F032" w14:textId="54BF7FC4" w:rsidR="00FC276C" w:rsidRPr="00FE0DD3" w:rsidRDefault="005E4D1F" w:rsidP="00FC2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Највиши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удио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сингле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бид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биљежи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преговарачким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поступцима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без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објаве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посебно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радове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сложене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услуге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),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затим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радовима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високе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који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проводе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без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подјеле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лотове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секторима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здравства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социјалних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услуга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FE64DA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Анекс</w:t>
      </w:r>
      <w:r w:rsidR="00FE64D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II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),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као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код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директних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споразума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гдје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конкуренција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готово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потпуности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изостала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1B09497" w14:textId="77777777" w:rsidR="00FC276C" w:rsidRPr="00FE0DD3" w:rsidRDefault="00FC276C" w:rsidP="00FC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C3E047" w14:textId="53BD49EB" w:rsidR="00FC276C" w:rsidRPr="00FE0DD3" w:rsidRDefault="005E4D1F" w:rsidP="00FC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Ефекти</w:t>
      </w:r>
      <w:r w:rsidR="00FC276C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666ACFC0" w14:textId="6A5CA9EC" w:rsidR="0021204D" w:rsidRPr="00FE0DD3" w:rsidRDefault="005E4D1F" w:rsidP="00FC2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Повећани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ризик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виших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цијена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разлика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између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једном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понудом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оних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три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или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више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може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износити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20–30%,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што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указује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недостатак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тржишног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такмичења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директно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утиче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ефикасност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трошења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јавних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средстава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Јачање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локалних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монопола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олигопола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мали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активних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понуђача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појединим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секторима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омогућава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стабилне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позиције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постојећих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фирми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смањује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конкурентски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притисак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Отежан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улазак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нових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понуђача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тржишта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хронично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ниским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бројем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стварају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затворене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структуре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којима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нови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учесници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тешко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пробијају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што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дугорочно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одржава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низак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ниво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конкуренције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ограничава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иновацију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квалитет</w:t>
      </w:r>
      <w:r w:rsidR="00FC276C" w:rsidRPr="00FE0D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E1EEF71" w14:textId="1C400C25" w:rsidR="0021204D" w:rsidRPr="0021204D" w:rsidRDefault="0021204D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D4B5AB" w14:textId="75DCF89D" w:rsidR="0021204D" w:rsidRPr="00FE0DD3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 xml:space="preserve">2.4.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Територијалне</w:t>
      </w: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и</w:t>
      </w: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секторске</w:t>
      </w: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разлике</w:t>
      </w: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(2022)</w:t>
      </w:r>
    </w:p>
    <w:p w14:paraId="124A1F17" w14:textId="3BCCD9FB" w:rsidR="0021204D" w:rsidRPr="00FE0DD3" w:rsidRDefault="005E4D1F" w:rsidP="00212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а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Преговарачки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поступак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без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објаве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по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ентитетима</w:t>
      </w:r>
    </w:p>
    <w:p w14:paraId="40977126" w14:textId="2260436E" w:rsidR="0021204D" w:rsidRPr="00FE0DD3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Приближни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удјели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ПБО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CDC96B3" w14:textId="1BFA861F" w:rsidR="0021204D" w:rsidRPr="0021204D" w:rsidRDefault="005E4D1F" w:rsidP="00747F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ниво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БиХ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≈ 1,</w:t>
      </w:r>
      <w:r w:rsidR="00C64C4B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%,</w:t>
      </w:r>
    </w:p>
    <w:p w14:paraId="058E06FB" w14:textId="30CFCDF6" w:rsidR="0021204D" w:rsidRPr="0021204D" w:rsidRDefault="005E4D1F" w:rsidP="00747F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ФБиХ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≈ 68,7%,</w:t>
      </w:r>
    </w:p>
    <w:p w14:paraId="34AE7645" w14:textId="65EB1273" w:rsidR="0021204D" w:rsidRPr="0021204D" w:rsidRDefault="005E4D1F" w:rsidP="00747F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РС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≈ 29,6%,</w:t>
      </w:r>
    </w:p>
    <w:p w14:paraId="23FBF98E" w14:textId="5D021B99" w:rsidR="0021204D" w:rsidRPr="0021204D" w:rsidRDefault="005E4D1F" w:rsidP="00747F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БД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≈ 0,2%.</w:t>
      </w:r>
    </w:p>
    <w:p w14:paraId="14A170D0" w14:textId="3CE88B55" w:rsid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ФБиХ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има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највећи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удио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вриједности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РС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значајан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удио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посебно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радовима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док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Брчко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занемарив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али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стабилан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208BC2" w14:textId="26C6A008" w:rsidR="009409C4" w:rsidRPr="009409C4" w:rsidRDefault="005E4D1F" w:rsidP="009409C4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</w:rPr>
        <w:t>Табеларни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приказ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вриједности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додијељених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уговора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за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преговарачки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поступак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без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објаве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обавјештења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о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набавци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у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2022. </w:t>
      </w:r>
      <w:r>
        <w:rPr>
          <w:rFonts w:ascii="Times New Roman" w:hAnsi="Times New Roman" w:cs="Times New Roman"/>
          <w:color w:val="000000" w:themeColor="text1"/>
        </w:rPr>
        <w:t>години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према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предмету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набавке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и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нивоу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власти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којем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припада</w:t>
      </w:r>
      <w:r w:rsidR="009409C4" w:rsidRPr="009409C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уг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оворни</w:t>
      </w:r>
      <w:r w:rsidR="009409C4" w:rsidRPr="009409C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орган</w:t>
      </w:r>
      <w:r w:rsidR="009409C4" w:rsidRPr="009409C4">
        <w:rPr>
          <w:rFonts w:ascii="Times New Roman" w:hAnsi="Times New Roman" w:cs="Times New Roman"/>
          <w:color w:val="000000" w:themeColor="text1"/>
          <w:sz w:val="18"/>
          <w:szCs w:val="18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0"/>
        <w:gridCol w:w="1438"/>
        <w:gridCol w:w="1833"/>
        <w:gridCol w:w="1753"/>
        <w:gridCol w:w="1547"/>
        <w:gridCol w:w="1794"/>
      </w:tblGrid>
      <w:tr w:rsidR="009409C4" w:rsidRPr="009409C4" w14:paraId="1EB26110" w14:textId="77777777" w:rsidTr="00794102">
        <w:trPr>
          <w:trHeight w:val="270"/>
        </w:trPr>
        <w:tc>
          <w:tcPr>
            <w:tcW w:w="9355" w:type="dxa"/>
            <w:gridSpan w:val="6"/>
            <w:shd w:val="clear" w:color="auto" w:fill="FFFF00"/>
            <w:hideMark/>
          </w:tcPr>
          <w:p w14:paraId="4F1CCB5C" w14:textId="79FA3A3F" w:rsidR="009409C4" w:rsidRPr="009409C4" w:rsidRDefault="005E4D1F" w:rsidP="0079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Укупна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вриједност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додијељених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уговора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преговарачки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поступак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без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објаве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обавјештења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набавци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</w:t>
            </w:r>
            <w:r w:rsidR="009409C4" w:rsidRPr="009409C4">
              <w:rPr>
                <w:sz w:val="18"/>
                <w:szCs w:val="18"/>
              </w:rPr>
              <w:t xml:space="preserve"> 2022. </w:t>
            </w:r>
            <w:r>
              <w:rPr>
                <w:sz w:val="18"/>
                <w:szCs w:val="18"/>
              </w:rPr>
              <w:t>години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према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предмету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набавке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нивоу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власти</w:t>
            </w:r>
            <w:r w:rsidR="009409C4" w:rsidRPr="009409C4">
              <w:rPr>
                <w:sz w:val="18"/>
                <w:szCs w:val="18"/>
              </w:rPr>
              <w:t>:</w:t>
            </w:r>
          </w:p>
        </w:tc>
      </w:tr>
      <w:tr w:rsidR="009409C4" w:rsidRPr="009409C4" w14:paraId="166A1B23" w14:textId="77777777" w:rsidTr="00794102">
        <w:trPr>
          <w:trHeight w:val="315"/>
        </w:trPr>
        <w:tc>
          <w:tcPr>
            <w:tcW w:w="990" w:type="dxa"/>
            <w:noWrap/>
            <w:hideMark/>
          </w:tcPr>
          <w:p w14:paraId="3C427815" w14:textId="77777777" w:rsidR="009409C4" w:rsidRPr="009409C4" w:rsidRDefault="009409C4" w:rsidP="007941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5D058C3A" w14:textId="2EEE6A50" w:rsidR="009409C4" w:rsidRPr="009409C4" w:rsidRDefault="005E4D1F" w:rsidP="0079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БИХ</w:t>
            </w:r>
          </w:p>
        </w:tc>
        <w:tc>
          <w:tcPr>
            <w:tcW w:w="1833" w:type="dxa"/>
            <w:noWrap/>
            <w:hideMark/>
          </w:tcPr>
          <w:p w14:paraId="38E17BAA" w14:textId="05C5B687" w:rsidR="009409C4" w:rsidRPr="009409C4" w:rsidRDefault="005E4D1F" w:rsidP="0079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ФБиХ</w:t>
            </w:r>
          </w:p>
        </w:tc>
        <w:tc>
          <w:tcPr>
            <w:tcW w:w="1753" w:type="dxa"/>
            <w:noWrap/>
            <w:hideMark/>
          </w:tcPr>
          <w:p w14:paraId="3D52067E" w14:textId="463A3A8E" w:rsidR="009409C4" w:rsidRPr="009409C4" w:rsidRDefault="005E4D1F" w:rsidP="0079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РС</w:t>
            </w:r>
          </w:p>
        </w:tc>
        <w:tc>
          <w:tcPr>
            <w:tcW w:w="1547" w:type="dxa"/>
            <w:noWrap/>
            <w:hideMark/>
          </w:tcPr>
          <w:p w14:paraId="0ECFF288" w14:textId="00593D9E" w:rsidR="009409C4" w:rsidRPr="009409C4" w:rsidRDefault="005E4D1F" w:rsidP="0079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БД</w:t>
            </w:r>
          </w:p>
        </w:tc>
        <w:tc>
          <w:tcPr>
            <w:tcW w:w="1794" w:type="dxa"/>
            <w:noWrap/>
            <w:hideMark/>
          </w:tcPr>
          <w:p w14:paraId="5A980E51" w14:textId="32A51D58" w:rsidR="009409C4" w:rsidRPr="009409C4" w:rsidRDefault="005E4D1F" w:rsidP="0079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Укупно</w:t>
            </w:r>
          </w:p>
        </w:tc>
      </w:tr>
      <w:tr w:rsidR="009409C4" w:rsidRPr="009409C4" w14:paraId="494559A6" w14:textId="77777777" w:rsidTr="00794102">
        <w:trPr>
          <w:trHeight w:val="270"/>
        </w:trPr>
        <w:tc>
          <w:tcPr>
            <w:tcW w:w="990" w:type="dxa"/>
            <w:noWrap/>
            <w:hideMark/>
          </w:tcPr>
          <w:p w14:paraId="7F9FBBCB" w14:textId="356ECA99" w:rsidR="009409C4" w:rsidRPr="009409C4" w:rsidRDefault="005E4D1F" w:rsidP="007941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Робе</w:t>
            </w:r>
          </w:p>
        </w:tc>
        <w:tc>
          <w:tcPr>
            <w:tcW w:w="1438" w:type="dxa"/>
            <w:noWrap/>
            <w:hideMark/>
          </w:tcPr>
          <w:p w14:paraId="2DF44FC9" w14:textId="77777777" w:rsidR="009409C4" w:rsidRPr="009409C4" w:rsidRDefault="009409C4" w:rsidP="00794102">
            <w:pPr>
              <w:jc w:val="right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2.622.696,89</w:t>
            </w:r>
          </w:p>
        </w:tc>
        <w:tc>
          <w:tcPr>
            <w:tcW w:w="1833" w:type="dxa"/>
            <w:noWrap/>
            <w:hideMark/>
          </w:tcPr>
          <w:p w14:paraId="10A5A15F" w14:textId="77777777" w:rsidR="009409C4" w:rsidRPr="009409C4" w:rsidRDefault="009409C4" w:rsidP="00794102">
            <w:pPr>
              <w:jc w:val="right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147.812.103,58</w:t>
            </w:r>
          </w:p>
        </w:tc>
        <w:tc>
          <w:tcPr>
            <w:tcW w:w="1753" w:type="dxa"/>
            <w:noWrap/>
            <w:hideMark/>
          </w:tcPr>
          <w:p w14:paraId="3D2C7AB3" w14:textId="77777777" w:rsidR="009409C4" w:rsidRPr="009409C4" w:rsidRDefault="009409C4" w:rsidP="00794102">
            <w:pPr>
              <w:jc w:val="right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43.897.166,45</w:t>
            </w:r>
          </w:p>
        </w:tc>
        <w:tc>
          <w:tcPr>
            <w:tcW w:w="1547" w:type="dxa"/>
            <w:noWrap/>
            <w:hideMark/>
          </w:tcPr>
          <w:p w14:paraId="6E6BFFEA" w14:textId="77777777" w:rsidR="009409C4" w:rsidRPr="009409C4" w:rsidRDefault="009409C4" w:rsidP="00794102">
            <w:pPr>
              <w:jc w:val="right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268.488,55</w:t>
            </w:r>
          </w:p>
        </w:tc>
        <w:tc>
          <w:tcPr>
            <w:tcW w:w="1794" w:type="dxa"/>
            <w:noWrap/>
            <w:hideMark/>
          </w:tcPr>
          <w:p w14:paraId="40459A83" w14:textId="77777777" w:rsidR="009409C4" w:rsidRPr="009409C4" w:rsidRDefault="009409C4" w:rsidP="00794102">
            <w:pPr>
              <w:jc w:val="right"/>
              <w:rPr>
                <w:b/>
                <w:sz w:val="18"/>
                <w:szCs w:val="18"/>
              </w:rPr>
            </w:pPr>
            <w:r w:rsidRPr="009409C4">
              <w:rPr>
                <w:b/>
                <w:sz w:val="18"/>
                <w:szCs w:val="18"/>
              </w:rPr>
              <w:t>194.600.455,47</w:t>
            </w:r>
          </w:p>
        </w:tc>
      </w:tr>
      <w:tr w:rsidR="009409C4" w:rsidRPr="009409C4" w14:paraId="24832F9F" w14:textId="77777777" w:rsidTr="00794102">
        <w:trPr>
          <w:trHeight w:val="270"/>
        </w:trPr>
        <w:tc>
          <w:tcPr>
            <w:tcW w:w="990" w:type="dxa"/>
            <w:noWrap/>
            <w:hideMark/>
          </w:tcPr>
          <w:p w14:paraId="048D08C7" w14:textId="1AED6470" w:rsidR="009409C4" w:rsidRPr="009409C4" w:rsidRDefault="005E4D1F" w:rsidP="007941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Услуге</w:t>
            </w:r>
          </w:p>
        </w:tc>
        <w:tc>
          <w:tcPr>
            <w:tcW w:w="1438" w:type="dxa"/>
            <w:noWrap/>
            <w:hideMark/>
          </w:tcPr>
          <w:p w14:paraId="31967B1B" w14:textId="77777777" w:rsidR="009409C4" w:rsidRPr="009409C4" w:rsidRDefault="009409C4" w:rsidP="00794102">
            <w:pPr>
              <w:jc w:val="right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1.493.813,20</w:t>
            </w:r>
          </w:p>
        </w:tc>
        <w:tc>
          <w:tcPr>
            <w:tcW w:w="1833" w:type="dxa"/>
            <w:noWrap/>
            <w:hideMark/>
          </w:tcPr>
          <w:p w14:paraId="74FD9937" w14:textId="77777777" w:rsidR="009409C4" w:rsidRPr="009409C4" w:rsidRDefault="009409C4" w:rsidP="00794102">
            <w:pPr>
              <w:jc w:val="right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48.048.276,03</w:t>
            </w:r>
          </w:p>
        </w:tc>
        <w:tc>
          <w:tcPr>
            <w:tcW w:w="1753" w:type="dxa"/>
            <w:noWrap/>
            <w:hideMark/>
          </w:tcPr>
          <w:p w14:paraId="3FEBCE17" w14:textId="77777777" w:rsidR="009409C4" w:rsidRPr="009409C4" w:rsidRDefault="009409C4" w:rsidP="00794102">
            <w:pPr>
              <w:jc w:val="right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24.176.599,43</w:t>
            </w:r>
          </w:p>
        </w:tc>
        <w:tc>
          <w:tcPr>
            <w:tcW w:w="1547" w:type="dxa"/>
            <w:noWrap/>
            <w:hideMark/>
          </w:tcPr>
          <w:p w14:paraId="544E0C9D" w14:textId="77777777" w:rsidR="009409C4" w:rsidRPr="009409C4" w:rsidRDefault="009409C4" w:rsidP="00794102">
            <w:pPr>
              <w:jc w:val="right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414.090,80</w:t>
            </w:r>
          </w:p>
        </w:tc>
        <w:tc>
          <w:tcPr>
            <w:tcW w:w="1794" w:type="dxa"/>
            <w:noWrap/>
            <w:hideMark/>
          </w:tcPr>
          <w:p w14:paraId="5146CF15" w14:textId="77777777" w:rsidR="009409C4" w:rsidRPr="009409C4" w:rsidRDefault="009409C4" w:rsidP="00794102">
            <w:pPr>
              <w:jc w:val="right"/>
              <w:rPr>
                <w:b/>
                <w:sz w:val="18"/>
                <w:szCs w:val="18"/>
              </w:rPr>
            </w:pPr>
            <w:r w:rsidRPr="009409C4">
              <w:rPr>
                <w:b/>
                <w:sz w:val="18"/>
                <w:szCs w:val="18"/>
              </w:rPr>
              <w:t>74.132.779,46</w:t>
            </w:r>
          </w:p>
        </w:tc>
      </w:tr>
      <w:tr w:rsidR="009409C4" w:rsidRPr="009409C4" w14:paraId="2B8B4E94" w14:textId="77777777" w:rsidTr="00794102">
        <w:trPr>
          <w:trHeight w:val="270"/>
        </w:trPr>
        <w:tc>
          <w:tcPr>
            <w:tcW w:w="990" w:type="dxa"/>
            <w:noWrap/>
            <w:hideMark/>
          </w:tcPr>
          <w:p w14:paraId="57C6BC2E" w14:textId="3CD8D97E" w:rsidR="009409C4" w:rsidRPr="009409C4" w:rsidRDefault="005E4D1F" w:rsidP="007941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Радови</w:t>
            </w:r>
          </w:p>
        </w:tc>
        <w:tc>
          <w:tcPr>
            <w:tcW w:w="1438" w:type="dxa"/>
            <w:noWrap/>
            <w:hideMark/>
          </w:tcPr>
          <w:p w14:paraId="7E2E0D3E" w14:textId="77777777" w:rsidR="009409C4" w:rsidRPr="009409C4" w:rsidRDefault="009409C4" w:rsidP="00794102">
            <w:pPr>
              <w:jc w:val="right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83.292,40</w:t>
            </w:r>
          </w:p>
        </w:tc>
        <w:tc>
          <w:tcPr>
            <w:tcW w:w="1833" w:type="dxa"/>
            <w:noWrap/>
            <w:hideMark/>
          </w:tcPr>
          <w:p w14:paraId="47BF103D" w14:textId="77777777" w:rsidR="009409C4" w:rsidRPr="009409C4" w:rsidRDefault="009409C4" w:rsidP="00794102">
            <w:pPr>
              <w:jc w:val="right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6.949.306,50</w:t>
            </w:r>
          </w:p>
        </w:tc>
        <w:tc>
          <w:tcPr>
            <w:tcW w:w="1753" w:type="dxa"/>
            <w:noWrap/>
            <w:hideMark/>
          </w:tcPr>
          <w:p w14:paraId="07DED2CC" w14:textId="77777777" w:rsidR="009409C4" w:rsidRPr="009409C4" w:rsidRDefault="009409C4" w:rsidP="00794102">
            <w:pPr>
              <w:jc w:val="right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19.353.871,37</w:t>
            </w:r>
          </w:p>
        </w:tc>
        <w:tc>
          <w:tcPr>
            <w:tcW w:w="1547" w:type="dxa"/>
            <w:noWrap/>
            <w:hideMark/>
          </w:tcPr>
          <w:p w14:paraId="0A499F66" w14:textId="77777777" w:rsidR="009409C4" w:rsidRPr="009409C4" w:rsidRDefault="009409C4" w:rsidP="00794102">
            <w:pPr>
              <w:jc w:val="right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28.867,15</w:t>
            </w:r>
          </w:p>
        </w:tc>
        <w:tc>
          <w:tcPr>
            <w:tcW w:w="1794" w:type="dxa"/>
            <w:noWrap/>
            <w:hideMark/>
          </w:tcPr>
          <w:p w14:paraId="4574C3E0" w14:textId="77777777" w:rsidR="009409C4" w:rsidRPr="009409C4" w:rsidRDefault="009409C4" w:rsidP="00794102">
            <w:pPr>
              <w:jc w:val="right"/>
              <w:rPr>
                <w:b/>
                <w:sz w:val="18"/>
                <w:szCs w:val="18"/>
              </w:rPr>
            </w:pPr>
            <w:r w:rsidRPr="009409C4">
              <w:rPr>
                <w:b/>
                <w:sz w:val="18"/>
                <w:szCs w:val="18"/>
              </w:rPr>
              <w:t>26.415.337,42</w:t>
            </w:r>
          </w:p>
        </w:tc>
      </w:tr>
      <w:tr w:rsidR="009409C4" w:rsidRPr="009409C4" w14:paraId="3166093B" w14:textId="77777777" w:rsidTr="00794102">
        <w:trPr>
          <w:trHeight w:val="270"/>
        </w:trPr>
        <w:tc>
          <w:tcPr>
            <w:tcW w:w="990" w:type="dxa"/>
            <w:noWrap/>
            <w:hideMark/>
          </w:tcPr>
          <w:p w14:paraId="1A525451" w14:textId="5B73A9E2" w:rsidR="009409C4" w:rsidRPr="009409C4" w:rsidRDefault="005E4D1F" w:rsidP="00794102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Укупно</w:t>
            </w:r>
          </w:p>
        </w:tc>
        <w:tc>
          <w:tcPr>
            <w:tcW w:w="1438" w:type="dxa"/>
            <w:noWrap/>
            <w:hideMark/>
          </w:tcPr>
          <w:p w14:paraId="63796504" w14:textId="77777777" w:rsidR="009409C4" w:rsidRPr="009409C4" w:rsidRDefault="009409C4" w:rsidP="00794102">
            <w:pPr>
              <w:jc w:val="right"/>
              <w:rPr>
                <w:b/>
                <w:bCs/>
                <w:sz w:val="18"/>
                <w:szCs w:val="18"/>
              </w:rPr>
            </w:pPr>
            <w:r w:rsidRPr="009409C4">
              <w:rPr>
                <w:b/>
                <w:bCs/>
                <w:sz w:val="18"/>
                <w:szCs w:val="18"/>
              </w:rPr>
              <w:t>4.199.802,49</w:t>
            </w:r>
          </w:p>
        </w:tc>
        <w:tc>
          <w:tcPr>
            <w:tcW w:w="1833" w:type="dxa"/>
            <w:noWrap/>
            <w:hideMark/>
          </w:tcPr>
          <w:p w14:paraId="43253022" w14:textId="77777777" w:rsidR="009409C4" w:rsidRPr="009409C4" w:rsidRDefault="009409C4" w:rsidP="00794102">
            <w:pPr>
              <w:jc w:val="right"/>
              <w:rPr>
                <w:b/>
                <w:bCs/>
                <w:sz w:val="18"/>
                <w:szCs w:val="18"/>
              </w:rPr>
            </w:pPr>
            <w:r w:rsidRPr="009409C4">
              <w:rPr>
                <w:b/>
                <w:bCs/>
                <w:sz w:val="18"/>
                <w:szCs w:val="18"/>
              </w:rPr>
              <w:t>202.809.686,11</w:t>
            </w:r>
          </w:p>
        </w:tc>
        <w:tc>
          <w:tcPr>
            <w:tcW w:w="1753" w:type="dxa"/>
            <w:noWrap/>
            <w:hideMark/>
          </w:tcPr>
          <w:p w14:paraId="04B44E7D" w14:textId="77777777" w:rsidR="009409C4" w:rsidRPr="009409C4" w:rsidRDefault="009409C4" w:rsidP="00794102">
            <w:pPr>
              <w:jc w:val="right"/>
              <w:rPr>
                <w:b/>
                <w:bCs/>
                <w:sz w:val="18"/>
                <w:szCs w:val="18"/>
              </w:rPr>
            </w:pPr>
            <w:r w:rsidRPr="009409C4">
              <w:rPr>
                <w:b/>
                <w:bCs/>
                <w:sz w:val="18"/>
                <w:szCs w:val="18"/>
              </w:rPr>
              <w:t>87.427.637,25</w:t>
            </w:r>
          </w:p>
        </w:tc>
        <w:tc>
          <w:tcPr>
            <w:tcW w:w="1547" w:type="dxa"/>
            <w:noWrap/>
            <w:hideMark/>
          </w:tcPr>
          <w:p w14:paraId="1433C57D" w14:textId="77777777" w:rsidR="009409C4" w:rsidRPr="009409C4" w:rsidRDefault="009409C4" w:rsidP="00794102">
            <w:pPr>
              <w:jc w:val="right"/>
              <w:rPr>
                <w:b/>
                <w:bCs/>
                <w:sz w:val="18"/>
                <w:szCs w:val="18"/>
              </w:rPr>
            </w:pPr>
            <w:r w:rsidRPr="009409C4">
              <w:rPr>
                <w:b/>
                <w:bCs/>
                <w:sz w:val="18"/>
                <w:szCs w:val="18"/>
              </w:rPr>
              <w:t>711.446,50</w:t>
            </w:r>
          </w:p>
        </w:tc>
        <w:tc>
          <w:tcPr>
            <w:tcW w:w="1794" w:type="dxa"/>
            <w:noWrap/>
            <w:hideMark/>
          </w:tcPr>
          <w:p w14:paraId="212C091B" w14:textId="77777777" w:rsidR="009409C4" w:rsidRPr="009409C4" w:rsidRDefault="009409C4" w:rsidP="00794102">
            <w:pPr>
              <w:jc w:val="right"/>
              <w:rPr>
                <w:b/>
                <w:bCs/>
                <w:sz w:val="18"/>
                <w:szCs w:val="18"/>
              </w:rPr>
            </w:pPr>
            <w:r w:rsidRPr="009409C4">
              <w:rPr>
                <w:b/>
                <w:bCs/>
                <w:sz w:val="18"/>
                <w:szCs w:val="18"/>
              </w:rPr>
              <w:t>295.148.572,35</w:t>
            </w:r>
          </w:p>
        </w:tc>
      </w:tr>
    </w:tbl>
    <w:p w14:paraId="327CEDA8" w14:textId="77777777" w:rsidR="009409C4" w:rsidRPr="007628BE" w:rsidRDefault="009409C4" w:rsidP="009409C4">
      <w:pPr>
        <w:jc w:val="both"/>
        <w:rPr>
          <w:i/>
        </w:rPr>
      </w:pPr>
      <w:r>
        <w:rPr>
          <w:noProof/>
        </w:rPr>
        <w:drawing>
          <wp:inline distT="0" distB="0" distL="0" distR="0" wp14:anchorId="26AE1E08" wp14:editId="00C2EF14">
            <wp:extent cx="5929952" cy="2743200"/>
            <wp:effectExtent l="0" t="0" r="13970" b="0"/>
            <wp:docPr id="47" name="Chart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0F48828" w14:textId="0EF65EBA" w:rsidR="009409C4" w:rsidRPr="009409C4" w:rsidRDefault="005E4D1F" w:rsidP="009409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Табеларни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приказ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укупног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броја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додијељених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уговора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преговарачки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поступак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без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објаве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обавјештења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набавци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9409C4" w:rsidRPr="009409C4">
        <w:rPr>
          <w:rFonts w:ascii="Times New Roman" w:hAnsi="Times New Roman" w:cs="Times New Roman"/>
        </w:rPr>
        <w:t xml:space="preserve"> 2022. </w:t>
      </w:r>
      <w:r>
        <w:rPr>
          <w:rFonts w:ascii="Times New Roman" w:hAnsi="Times New Roman" w:cs="Times New Roman"/>
        </w:rPr>
        <w:t>години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према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предмету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набавке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нивоу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власти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којем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припада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уговорни</w:t>
      </w:r>
      <w:r w:rsidR="009409C4" w:rsidRPr="0094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</w:t>
      </w:r>
      <w:r w:rsidR="009409C4" w:rsidRPr="009409C4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80"/>
        <w:gridCol w:w="1357"/>
        <w:gridCol w:w="1793"/>
        <w:gridCol w:w="1800"/>
        <w:gridCol w:w="1530"/>
        <w:gridCol w:w="1795"/>
      </w:tblGrid>
      <w:tr w:rsidR="009409C4" w:rsidRPr="009409C4" w14:paraId="3C66FBBB" w14:textId="77777777" w:rsidTr="00794102">
        <w:trPr>
          <w:trHeight w:val="270"/>
        </w:trPr>
        <w:tc>
          <w:tcPr>
            <w:tcW w:w="9355" w:type="dxa"/>
            <w:gridSpan w:val="6"/>
            <w:shd w:val="clear" w:color="auto" w:fill="FFFF00"/>
            <w:hideMark/>
          </w:tcPr>
          <w:p w14:paraId="18C443BA" w14:textId="44796743" w:rsidR="009409C4" w:rsidRPr="009409C4" w:rsidRDefault="005E4D1F" w:rsidP="0079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Укупни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број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додијељених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уговора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преговарачки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поступак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без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објаве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обавјештења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набавци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</w:t>
            </w:r>
            <w:r w:rsidR="009409C4" w:rsidRPr="009409C4">
              <w:rPr>
                <w:sz w:val="18"/>
                <w:szCs w:val="18"/>
              </w:rPr>
              <w:t xml:space="preserve"> 2022. </w:t>
            </w:r>
            <w:r>
              <w:rPr>
                <w:sz w:val="18"/>
                <w:szCs w:val="18"/>
              </w:rPr>
              <w:t>години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према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предмету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набавке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нивоу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власти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којем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припада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уговорни</w:t>
            </w:r>
            <w:r w:rsidR="009409C4" w:rsidRPr="009409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орган</w:t>
            </w:r>
            <w:r w:rsidR="009409C4" w:rsidRPr="009409C4">
              <w:rPr>
                <w:sz w:val="18"/>
                <w:szCs w:val="18"/>
              </w:rPr>
              <w:t>:</w:t>
            </w:r>
          </w:p>
        </w:tc>
      </w:tr>
      <w:tr w:rsidR="009409C4" w:rsidRPr="009409C4" w14:paraId="2354E823" w14:textId="77777777" w:rsidTr="00794102">
        <w:trPr>
          <w:trHeight w:val="270"/>
        </w:trPr>
        <w:tc>
          <w:tcPr>
            <w:tcW w:w="1080" w:type="dxa"/>
            <w:noWrap/>
          </w:tcPr>
          <w:p w14:paraId="55D40182" w14:textId="77777777" w:rsidR="009409C4" w:rsidRPr="009409C4" w:rsidRDefault="009409C4" w:rsidP="007941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7" w:type="dxa"/>
            <w:noWrap/>
          </w:tcPr>
          <w:p w14:paraId="414ACA7E" w14:textId="03CA38DF" w:rsidR="009409C4" w:rsidRPr="009409C4" w:rsidRDefault="005E4D1F" w:rsidP="0079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БиХ</w:t>
            </w:r>
          </w:p>
        </w:tc>
        <w:tc>
          <w:tcPr>
            <w:tcW w:w="1793" w:type="dxa"/>
            <w:noWrap/>
          </w:tcPr>
          <w:p w14:paraId="6D471DAF" w14:textId="5ED19DD5" w:rsidR="009409C4" w:rsidRPr="009409C4" w:rsidRDefault="005E4D1F" w:rsidP="0079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ФБиХ</w:t>
            </w:r>
          </w:p>
        </w:tc>
        <w:tc>
          <w:tcPr>
            <w:tcW w:w="1800" w:type="dxa"/>
            <w:noWrap/>
          </w:tcPr>
          <w:p w14:paraId="5C4AC194" w14:textId="6F264ED1" w:rsidR="009409C4" w:rsidRPr="009409C4" w:rsidRDefault="005E4D1F" w:rsidP="0079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РС</w:t>
            </w:r>
          </w:p>
        </w:tc>
        <w:tc>
          <w:tcPr>
            <w:tcW w:w="1530" w:type="dxa"/>
            <w:noWrap/>
          </w:tcPr>
          <w:p w14:paraId="3AF1201C" w14:textId="0840ADBE" w:rsidR="009409C4" w:rsidRPr="009409C4" w:rsidRDefault="005E4D1F" w:rsidP="0079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БД</w:t>
            </w:r>
          </w:p>
        </w:tc>
        <w:tc>
          <w:tcPr>
            <w:tcW w:w="1795" w:type="dxa"/>
            <w:noWrap/>
          </w:tcPr>
          <w:p w14:paraId="4F69A7BD" w14:textId="28A17405" w:rsidR="009409C4" w:rsidRPr="009409C4" w:rsidRDefault="005E4D1F" w:rsidP="0079410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Укупно</w:t>
            </w:r>
          </w:p>
        </w:tc>
      </w:tr>
      <w:tr w:rsidR="009409C4" w:rsidRPr="009409C4" w14:paraId="45FE4FD6" w14:textId="77777777" w:rsidTr="00794102">
        <w:trPr>
          <w:trHeight w:val="270"/>
        </w:trPr>
        <w:tc>
          <w:tcPr>
            <w:tcW w:w="1080" w:type="dxa"/>
            <w:noWrap/>
            <w:hideMark/>
          </w:tcPr>
          <w:p w14:paraId="0B5A3E77" w14:textId="699CB700" w:rsidR="009409C4" w:rsidRPr="009409C4" w:rsidRDefault="005E4D1F" w:rsidP="007941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Робе</w:t>
            </w:r>
          </w:p>
        </w:tc>
        <w:tc>
          <w:tcPr>
            <w:tcW w:w="1357" w:type="dxa"/>
            <w:noWrap/>
            <w:hideMark/>
          </w:tcPr>
          <w:p w14:paraId="201B141A" w14:textId="77777777" w:rsidR="009409C4" w:rsidRPr="009409C4" w:rsidRDefault="009409C4" w:rsidP="00794102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64</w:t>
            </w:r>
          </w:p>
        </w:tc>
        <w:tc>
          <w:tcPr>
            <w:tcW w:w="1793" w:type="dxa"/>
            <w:noWrap/>
            <w:hideMark/>
          </w:tcPr>
          <w:p w14:paraId="49DEFE1D" w14:textId="77777777" w:rsidR="009409C4" w:rsidRPr="009409C4" w:rsidRDefault="009409C4" w:rsidP="00794102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218</w:t>
            </w:r>
          </w:p>
        </w:tc>
        <w:tc>
          <w:tcPr>
            <w:tcW w:w="1800" w:type="dxa"/>
            <w:noWrap/>
            <w:hideMark/>
          </w:tcPr>
          <w:p w14:paraId="0AC7821E" w14:textId="77777777" w:rsidR="009409C4" w:rsidRPr="009409C4" w:rsidRDefault="009409C4" w:rsidP="00794102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135</w:t>
            </w:r>
          </w:p>
        </w:tc>
        <w:tc>
          <w:tcPr>
            <w:tcW w:w="1530" w:type="dxa"/>
            <w:noWrap/>
            <w:hideMark/>
          </w:tcPr>
          <w:p w14:paraId="22D77BBD" w14:textId="77777777" w:rsidR="009409C4" w:rsidRPr="009409C4" w:rsidRDefault="009409C4" w:rsidP="00794102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2</w:t>
            </w:r>
          </w:p>
        </w:tc>
        <w:tc>
          <w:tcPr>
            <w:tcW w:w="1795" w:type="dxa"/>
            <w:noWrap/>
            <w:hideMark/>
          </w:tcPr>
          <w:p w14:paraId="3FB2B609" w14:textId="77777777" w:rsidR="009409C4" w:rsidRPr="009409C4" w:rsidRDefault="009409C4" w:rsidP="00794102">
            <w:pPr>
              <w:jc w:val="center"/>
              <w:rPr>
                <w:b/>
                <w:sz w:val="18"/>
                <w:szCs w:val="18"/>
              </w:rPr>
            </w:pPr>
            <w:r w:rsidRPr="009409C4">
              <w:rPr>
                <w:b/>
                <w:sz w:val="18"/>
                <w:szCs w:val="18"/>
              </w:rPr>
              <w:t>419</w:t>
            </w:r>
          </w:p>
        </w:tc>
      </w:tr>
      <w:tr w:rsidR="009409C4" w:rsidRPr="009409C4" w14:paraId="20CCDCE2" w14:textId="77777777" w:rsidTr="00794102">
        <w:trPr>
          <w:trHeight w:val="270"/>
        </w:trPr>
        <w:tc>
          <w:tcPr>
            <w:tcW w:w="1080" w:type="dxa"/>
            <w:noWrap/>
            <w:hideMark/>
          </w:tcPr>
          <w:p w14:paraId="4849930B" w14:textId="14D67A04" w:rsidR="009409C4" w:rsidRPr="009409C4" w:rsidRDefault="005E4D1F" w:rsidP="007941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Услуге</w:t>
            </w:r>
          </w:p>
        </w:tc>
        <w:tc>
          <w:tcPr>
            <w:tcW w:w="1357" w:type="dxa"/>
            <w:noWrap/>
            <w:hideMark/>
          </w:tcPr>
          <w:p w14:paraId="499ADFB7" w14:textId="77777777" w:rsidR="009409C4" w:rsidRPr="009409C4" w:rsidRDefault="009409C4" w:rsidP="00794102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73</w:t>
            </w:r>
          </w:p>
        </w:tc>
        <w:tc>
          <w:tcPr>
            <w:tcW w:w="1793" w:type="dxa"/>
            <w:noWrap/>
            <w:hideMark/>
          </w:tcPr>
          <w:p w14:paraId="55855DB3" w14:textId="77777777" w:rsidR="009409C4" w:rsidRPr="009409C4" w:rsidRDefault="009409C4" w:rsidP="00794102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254</w:t>
            </w:r>
          </w:p>
        </w:tc>
        <w:tc>
          <w:tcPr>
            <w:tcW w:w="1800" w:type="dxa"/>
            <w:noWrap/>
            <w:hideMark/>
          </w:tcPr>
          <w:p w14:paraId="78687D48" w14:textId="77777777" w:rsidR="009409C4" w:rsidRPr="009409C4" w:rsidRDefault="009409C4" w:rsidP="00794102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199</w:t>
            </w:r>
          </w:p>
        </w:tc>
        <w:tc>
          <w:tcPr>
            <w:tcW w:w="1530" w:type="dxa"/>
            <w:noWrap/>
            <w:hideMark/>
          </w:tcPr>
          <w:p w14:paraId="5B9B2A84" w14:textId="77777777" w:rsidR="009409C4" w:rsidRPr="009409C4" w:rsidRDefault="009409C4" w:rsidP="00794102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11</w:t>
            </w:r>
          </w:p>
        </w:tc>
        <w:tc>
          <w:tcPr>
            <w:tcW w:w="1795" w:type="dxa"/>
            <w:noWrap/>
            <w:hideMark/>
          </w:tcPr>
          <w:p w14:paraId="6ABAF16D" w14:textId="77777777" w:rsidR="009409C4" w:rsidRPr="009409C4" w:rsidRDefault="009409C4" w:rsidP="00794102">
            <w:pPr>
              <w:jc w:val="center"/>
              <w:rPr>
                <w:b/>
                <w:sz w:val="18"/>
                <w:szCs w:val="18"/>
              </w:rPr>
            </w:pPr>
            <w:r w:rsidRPr="009409C4">
              <w:rPr>
                <w:b/>
                <w:sz w:val="18"/>
                <w:szCs w:val="18"/>
              </w:rPr>
              <w:t>537</w:t>
            </w:r>
          </w:p>
        </w:tc>
      </w:tr>
      <w:tr w:rsidR="009409C4" w:rsidRPr="009409C4" w14:paraId="63A75D09" w14:textId="77777777" w:rsidTr="00794102">
        <w:trPr>
          <w:trHeight w:val="270"/>
        </w:trPr>
        <w:tc>
          <w:tcPr>
            <w:tcW w:w="1080" w:type="dxa"/>
            <w:noWrap/>
            <w:hideMark/>
          </w:tcPr>
          <w:p w14:paraId="6E428E5C" w14:textId="045ED24B" w:rsidR="009409C4" w:rsidRPr="009409C4" w:rsidRDefault="005E4D1F" w:rsidP="007941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Радови</w:t>
            </w:r>
          </w:p>
        </w:tc>
        <w:tc>
          <w:tcPr>
            <w:tcW w:w="1357" w:type="dxa"/>
            <w:noWrap/>
            <w:hideMark/>
          </w:tcPr>
          <w:p w14:paraId="0A5C4B79" w14:textId="77777777" w:rsidR="009409C4" w:rsidRPr="009409C4" w:rsidRDefault="009409C4" w:rsidP="00794102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9</w:t>
            </w:r>
          </w:p>
        </w:tc>
        <w:tc>
          <w:tcPr>
            <w:tcW w:w="1793" w:type="dxa"/>
            <w:noWrap/>
            <w:hideMark/>
          </w:tcPr>
          <w:p w14:paraId="11C811BD" w14:textId="77777777" w:rsidR="009409C4" w:rsidRPr="009409C4" w:rsidRDefault="009409C4" w:rsidP="00794102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96</w:t>
            </w:r>
          </w:p>
        </w:tc>
        <w:tc>
          <w:tcPr>
            <w:tcW w:w="1800" w:type="dxa"/>
            <w:noWrap/>
            <w:hideMark/>
          </w:tcPr>
          <w:p w14:paraId="435D3CA7" w14:textId="77777777" w:rsidR="009409C4" w:rsidRPr="009409C4" w:rsidRDefault="009409C4" w:rsidP="00794102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152</w:t>
            </w:r>
          </w:p>
        </w:tc>
        <w:tc>
          <w:tcPr>
            <w:tcW w:w="1530" w:type="dxa"/>
            <w:noWrap/>
            <w:hideMark/>
          </w:tcPr>
          <w:p w14:paraId="6AECA6F6" w14:textId="77777777" w:rsidR="009409C4" w:rsidRPr="009409C4" w:rsidRDefault="009409C4" w:rsidP="00794102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2</w:t>
            </w:r>
          </w:p>
        </w:tc>
        <w:tc>
          <w:tcPr>
            <w:tcW w:w="1795" w:type="dxa"/>
            <w:noWrap/>
            <w:hideMark/>
          </w:tcPr>
          <w:p w14:paraId="13CE1279" w14:textId="77777777" w:rsidR="009409C4" w:rsidRPr="009409C4" w:rsidRDefault="009409C4" w:rsidP="00794102">
            <w:pPr>
              <w:jc w:val="center"/>
              <w:rPr>
                <w:b/>
                <w:sz w:val="18"/>
                <w:szCs w:val="18"/>
              </w:rPr>
            </w:pPr>
            <w:r w:rsidRPr="009409C4">
              <w:rPr>
                <w:b/>
                <w:sz w:val="18"/>
                <w:szCs w:val="18"/>
              </w:rPr>
              <w:t>259</w:t>
            </w:r>
          </w:p>
        </w:tc>
      </w:tr>
      <w:tr w:rsidR="009409C4" w:rsidRPr="009409C4" w14:paraId="37EF0EDD" w14:textId="77777777" w:rsidTr="00794102">
        <w:trPr>
          <w:trHeight w:val="270"/>
        </w:trPr>
        <w:tc>
          <w:tcPr>
            <w:tcW w:w="1080" w:type="dxa"/>
            <w:noWrap/>
            <w:hideMark/>
          </w:tcPr>
          <w:p w14:paraId="26A8FB23" w14:textId="217A5102" w:rsidR="009409C4" w:rsidRPr="009409C4" w:rsidRDefault="005E4D1F" w:rsidP="00794102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Укупно</w:t>
            </w:r>
          </w:p>
        </w:tc>
        <w:tc>
          <w:tcPr>
            <w:tcW w:w="1357" w:type="dxa"/>
            <w:noWrap/>
            <w:hideMark/>
          </w:tcPr>
          <w:p w14:paraId="3BB73187" w14:textId="77777777" w:rsidR="009409C4" w:rsidRPr="009409C4" w:rsidRDefault="009409C4" w:rsidP="00794102">
            <w:pPr>
              <w:jc w:val="center"/>
              <w:rPr>
                <w:b/>
                <w:bCs/>
                <w:sz w:val="18"/>
                <w:szCs w:val="18"/>
              </w:rPr>
            </w:pPr>
            <w:r w:rsidRPr="009409C4">
              <w:rPr>
                <w:b/>
                <w:bCs/>
                <w:sz w:val="18"/>
                <w:szCs w:val="18"/>
              </w:rPr>
              <w:t>146</w:t>
            </w:r>
          </w:p>
        </w:tc>
        <w:tc>
          <w:tcPr>
            <w:tcW w:w="1793" w:type="dxa"/>
            <w:noWrap/>
            <w:hideMark/>
          </w:tcPr>
          <w:p w14:paraId="7DF3CA47" w14:textId="77777777" w:rsidR="009409C4" w:rsidRPr="009409C4" w:rsidRDefault="009409C4" w:rsidP="00794102">
            <w:pPr>
              <w:jc w:val="center"/>
              <w:rPr>
                <w:b/>
                <w:sz w:val="18"/>
                <w:szCs w:val="18"/>
              </w:rPr>
            </w:pPr>
            <w:r w:rsidRPr="009409C4">
              <w:rPr>
                <w:b/>
                <w:sz w:val="18"/>
                <w:szCs w:val="18"/>
              </w:rPr>
              <w:t>568</w:t>
            </w:r>
          </w:p>
        </w:tc>
        <w:tc>
          <w:tcPr>
            <w:tcW w:w="1800" w:type="dxa"/>
            <w:noWrap/>
            <w:hideMark/>
          </w:tcPr>
          <w:p w14:paraId="0CA3F584" w14:textId="77777777" w:rsidR="009409C4" w:rsidRPr="009409C4" w:rsidRDefault="009409C4" w:rsidP="00794102">
            <w:pPr>
              <w:jc w:val="center"/>
              <w:rPr>
                <w:b/>
                <w:sz w:val="18"/>
                <w:szCs w:val="18"/>
              </w:rPr>
            </w:pPr>
            <w:r w:rsidRPr="009409C4">
              <w:rPr>
                <w:b/>
                <w:sz w:val="18"/>
                <w:szCs w:val="18"/>
              </w:rPr>
              <w:t>486</w:t>
            </w:r>
          </w:p>
        </w:tc>
        <w:tc>
          <w:tcPr>
            <w:tcW w:w="1530" w:type="dxa"/>
            <w:noWrap/>
            <w:hideMark/>
          </w:tcPr>
          <w:p w14:paraId="090E75D7" w14:textId="77777777" w:rsidR="009409C4" w:rsidRPr="009409C4" w:rsidRDefault="009409C4" w:rsidP="00794102">
            <w:pPr>
              <w:jc w:val="center"/>
              <w:rPr>
                <w:b/>
                <w:sz w:val="18"/>
                <w:szCs w:val="18"/>
              </w:rPr>
            </w:pPr>
            <w:r w:rsidRPr="009409C4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795" w:type="dxa"/>
            <w:noWrap/>
            <w:hideMark/>
          </w:tcPr>
          <w:p w14:paraId="0ACB6504" w14:textId="77777777" w:rsidR="009409C4" w:rsidRPr="009409C4" w:rsidRDefault="009409C4" w:rsidP="00794102">
            <w:pPr>
              <w:jc w:val="center"/>
              <w:rPr>
                <w:b/>
                <w:sz w:val="18"/>
                <w:szCs w:val="18"/>
              </w:rPr>
            </w:pPr>
            <w:r w:rsidRPr="009409C4">
              <w:rPr>
                <w:b/>
                <w:sz w:val="18"/>
                <w:szCs w:val="18"/>
              </w:rPr>
              <w:t>1.215</w:t>
            </w:r>
          </w:p>
        </w:tc>
      </w:tr>
    </w:tbl>
    <w:p w14:paraId="691A07E7" w14:textId="77777777" w:rsidR="009409C4" w:rsidRPr="007628BE" w:rsidRDefault="009409C4" w:rsidP="009409C4">
      <w:pPr>
        <w:jc w:val="both"/>
        <w:rPr>
          <w:i/>
        </w:rPr>
      </w:pPr>
      <w:r>
        <w:rPr>
          <w:noProof/>
        </w:rPr>
        <w:drawing>
          <wp:inline distT="0" distB="0" distL="0" distR="0" wp14:anchorId="515A8165" wp14:editId="1822E333">
            <wp:extent cx="5956935" cy="2490716"/>
            <wp:effectExtent l="0" t="0" r="5715" b="5080"/>
            <wp:docPr id="61" name="Chart 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23D5CDE" w14:textId="77777777" w:rsidR="009409C4" w:rsidRPr="0021204D" w:rsidRDefault="009409C4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71A632" w14:textId="481AF286" w:rsidR="0021204D" w:rsidRPr="0021204D" w:rsidRDefault="005E4D1F" w:rsidP="00212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б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Секторске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разлике</w:t>
      </w:r>
    </w:p>
    <w:p w14:paraId="7E504F21" w14:textId="0912D80D" w:rsidR="0021204D" w:rsidRPr="00652D48" w:rsidRDefault="005E4D1F" w:rsidP="00652D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</w:rPr>
        <w:t>Најнижи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ниво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конкуренције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биљежи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секторима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здравства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социјалних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услуга</w:t>
      </w:r>
      <w:r w:rsidR="00B946B7" w:rsidRPr="00652D4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радовима</w:t>
      </w:r>
      <w:r w:rsidR="00B946B7" w:rsidRPr="00652D48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посебно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код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великих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инфраструктурних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инвестиција</w:t>
      </w:r>
      <w:r w:rsidR="00B946B7" w:rsidRPr="00652D48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енергетским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комуналним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услугама</w:t>
      </w:r>
      <w:r w:rsidR="00B946B7" w:rsidRPr="00652D4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те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сегменту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транспорта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логистике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мањим</w:t>
      </w:r>
      <w:r w:rsidR="00B946B7" w:rsidRPr="00652D48">
        <w:rPr>
          <w:rFonts w:ascii="Times New Roman" w:hAnsi="Times New Roman" w:cs="Times New Roman"/>
        </w:rPr>
        <w:t xml:space="preserve"> </w:t>
      </w:r>
      <w:r w:rsidR="00DD774B">
        <w:rPr>
          <w:rFonts w:ascii="Times New Roman" w:hAnsi="Times New Roman" w:cs="Times New Roman"/>
        </w:rPr>
        <w:t>општина</w:t>
      </w:r>
      <w:r>
        <w:rPr>
          <w:rFonts w:ascii="Times New Roman" w:hAnsi="Times New Roman" w:cs="Times New Roman"/>
        </w:rPr>
        <w:t>ма</w:t>
      </w:r>
      <w:r w:rsidR="00B946B7" w:rsidRPr="00652D4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Ове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области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карактеризира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мали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број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квалификованих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технички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способних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понуђача</w:t>
      </w:r>
      <w:r w:rsidR="00B946B7" w:rsidRPr="00652D4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висока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тржишна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концентрација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хронично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низак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просјек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понуда</w:t>
      </w:r>
      <w:r w:rsidR="00B946B7" w:rsidRPr="00652D4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што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указује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структурно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ограничено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тржиште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смањен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потенцијал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стварно</w:t>
      </w:r>
      <w:r w:rsidR="00B946B7" w:rsidRPr="00652D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надметање</w:t>
      </w:r>
      <w:r w:rsidR="00B946B7" w:rsidRPr="00652D48">
        <w:rPr>
          <w:rFonts w:ascii="Times New Roman" w:hAnsi="Times New Roman" w:cs="Times New Roman"/>
        </w:rPr>
        <w:t>.</w:t>
      </w:r>
    </w:p>
    <w:p w14:paraId="69F8B05A" w14:textId="414C03F1" w:rsidR="0021204D" w:rsidRPr="0021204D" w:rsidRDefault="0021204D" w:rsidP="00652D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926735" w14:textId="43C1EF57" w:rsidR="0021204D" w:rsidRPr="0021204D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2.5.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Концентрација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вриједности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уговора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(2022)</w:t>
      </w:r>
    </w:p>
    <w:p w14:paraId="7F8E0F0D" w14:textId="33F08134" w:rsidR="0021204D" w:rsidRPr="0021204D" w:rsidRDefault="005E4D1F" w:rsidP="00747F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Групе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понуђача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консорцији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7E46BC6" w14:textId="02CC7A0B" w:rsidR="0021204D" w:rsidRPr="0021204D" w:rsidRDefault="0021204D" w:rsidP="00747F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1.510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уговора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(0,69%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по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броју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),</w:t>
      </w:r>
    </w:p>
    <w:p w14:paraId="0045F0F1" w14:textId="3E9EE4E0" w:rsidR="00DB129C" w:rsidRPr="00DB129C" w:rsidRDefault="0021204D" w:rsidP="00DB129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919,36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мил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КМ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око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20,84%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укупне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вриједности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DB2B04C" w14:textId="5753DE16" w:rsidR="0021204D" w:rsidRPr="00FE0DD3" w:rsidRDefault="005E4D1F" w:rsidP="00DB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радовима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процјењује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2–3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највеће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фирме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држе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већину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(&gt;60%)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тржишта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F0EF5DA" w14:textId="188B6F2D" w:rsidR="00DB129C" w:rsidRPr="00FE0DD3" w:rsidRDefault="005E4D1F" w:rsidP="00DB129C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lang w:val="pt-BR"/>
        </w:rPr>
        <w:lastRenderedPageBreak/>
        <w:t>Укупан</w:t>
      </w:r>
      <w:r w:rsidR="00DB129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број</w:t>
      </w:r>
      <w:r w:rsidR="00DB129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додијељених</w:t>
      </w:r>
      <w:r w:rsidR="00DB129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уговора</w:t>
      </w:r>
      <w:r w:rsidR="00DB129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DB129C" w:rsidRPr="00FE0DD3">
        <w:rPr>
          <w:rFonts w:ascii="Times New Roman" w:hAnsi="Times New Roman" w:cs="Times New Roman"/>
        </w:rPr>
        <w:t xml:space="preserve"> 2022. </w:t>
      </w:r>
      <w:r>
        <w:rPr>
          <w:rFonts w:ascii="Times New Roman" w:hAnsi="Times New Roman" w:cs="Times New Roman"/>
          <w:lang w:val="pt-BR"/>
        </w:rPr>
        <w:t>години</w:t>
      </w:r>
      <w:r w:rsidR="00DB129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износио</w:t>
      </w:r>
      <w:r w:rsidR="00DB129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DB129C" w:rsidRPr="00FE0DD3">
        <w:rPr>
          <w:rFonts w:ascii="Times New Roman" w:hAnsi="Times New Roman" w:cs="Times New Roman"/>
        </w:rPr>
        <w:t xml:space="preserve"> </w:t>
      </w:r>
      <w:r w:rsidR="00DB129C" w:rsidRPr="00FE0DD3">
        <w:rPr>
          <w:rFonts w:ascii="Times New Roman" w:hAnsi="Times New Roman" w:cs="Times New Roman"/>
          <w:bCs/>
        </w:rPr>
        <w:t>216.039.</w:t>
      </w:r>
      <w:r w:rsidR="00DB129C" w:rsidRPr="00FE0D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Од</w:t>
      </w:r>
      <w:r w:rsidR="00DB129C" w:rsidRPr="00FE0DD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укупног</w:t>
      </w:r>
      <w:r w:rsidR="00DB129C" w:rsidRPr="00FE0DD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број</w:t>
      </w:r>
      <w:r w:rsidR="00DB129C" w:rsidRPr="00FE0DD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додијељених</w:t>
      </w:r>
      <w:r w:rsidR="00DB129C" w:rsidRPr="00FE0DD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уговора</w:t>
      </w:r>
      <w:r w:rsidR="00DB129C" w:rsidRPr="00FE0DD3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  <w:lang w:val="pt-BR"/>
        </w:rPr>
        <w:t>групи</w:t>
      </w:r>
      <w:r w:rsidR="00DB129C" w:rsidRPr="00FE0DD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понуђача</w:t>
      </w:r>
      <w:r w:rsidR="00DB129C" w:rsidRPr="00FE0DD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је</w:t>
      </w:r>
      <w:r w:rsidR="00DB129C" w:rsidRPr="00FE0DD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додијељено</w:t>
      </w:r>
      <w:r w:rsidR="00DB129C" w:rsidRPr="00FE0DD3">
        <w:rPr>
          <w:rFonts w:ascii="Times New Roman" w:hAnsi="Times New Roman" w:cs="Times New Roman"/>
          <w:bCs/>
        </w:rPr>
        <w:t xml:space="preserve"> 1.510 </w:t>
      </w:r>
      <w:r>
        <w:rPr>
          <w:rFonts w:ascii="Times New Roman" w:hAnsi="Times New Roman" w:cs="Times New Roman"/>
          <w:bCs/>
          <w:lang w:val="pt-BR"/>
        </w:rPr>
        <w:t>уговора</w:t>
      </w:r>
      <w:r w:rsidR="00DB129C" w:rsidRPr="00FE0DD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или</w:t>
      </w:r>
      <w:r w:rsidR="00DB129C" w:rsidRPr="00FE0DD3">
        <w:rPr>
          <w:rFonts w:ascii="Times New Roman" w:hAnsi="Times New Roman" w:cs="Times New Roman"/>
          <w:bCs/>
        </w:rPr>
        <w:t xml:space="preserve"> 0.69% </w:t>
      </w:r>
      <w:r>
        <w:rPr>
          <w:rFonts w:ascii="Times New Roman" w:hAnsi="Times New Roman" w:cs="Times New Roman"/>
          <w:bCs/>
          <w:lang w:val="pt-BR"/>
        </w:rPr>
        <w:t>од</w:t>
      </w:r>
      <w:r w:rsidR="00DB129C" w:rsidRPr="00FE0DD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укупног</w:t>
      </w:r>
      <w:r w:rsidR="00DB129C" w:rsidRPr="00FE0DD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броја</w:t>
      </w:r>
      <w:r w:rsidR="00DB129C" w:rsidRPr="00FE0DD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додијељених</w:t>
      </w:r>
      <w:r w:rsidR="00DB129C" w:rsidRPr="00FE0DD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уговора</w:t>
      </w:r>
      <w:r w:rsidR="00DB129C" w:rsidRPr="00FE0DD3">
        <w:rPr>
          <w:rFonts w:ascii="Times New Roman" w:hAnsi="Times New Roman" w:cs="Times New Roman"/>
          <w:bCs/>
        </w:rPr>
        <w:t>.</w:t>
      </w:r>
    </w:p>
    <w:p w14:paraId="046ADF27" w14:textId="5E2D04C4" w:rsidR="00DB129C" w:rsidRPr="00FE0DD3" w:rsidRDefault="005E4D1F" w:rsidP="00DB12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val="pt-BR"/>
        </w:rPr>
        <w:t>Укупна</w:t>
      </w:r>
      <w:r w:rsidR="00DB129C" w:rsidRPr="00FE0DD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вриједност</w:t>
      </w:r>
      <w:r w:rsidR="00DB129C" w:rsidRPr="00FE0DD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додијељених</w:t>
      </w:r>
      <w:r w:rsidR="00DB129C" w:rsidRPr="00FE0DD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уговора</w:t>
      </w:r>
      <w:r w:rsidR="00DB129C" w:rsidRPr="00FE0DD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у</w:t>
      </w:r>
      <w:r w:rsidR="00DB129C" w:rsidRPr="00FE0DD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поступцима</w:t>
      </w:r>
      <w:r w:rsidR="00DB129C" w:rsidRPr="00FE0DD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јавних</w:t>
      </w:r>
      <w:r w:rsidR="00DB129C" w:rsidRPr="00FE0DD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набавки</w:t>
      </w:r>
      <w:r w:rsidR="00DB129C" w:rsidRPr="00FE0DD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у</w:t>
      </w:r>
      <w:r w:rsidR="00DB129C" w:rsidRPr="00FE0DD3">
        <w:rPr>
          <w:rFonts w:ascii="Times New Roman" w:hAnsi="Times New Roman" w:cs="Times New Roman"/>
          <w:bCs/>
        </w:rPr>
        <w:t xml:space="preserve"> 2022. </w:t>
      </w:r>
      <w:r>
        <w:rPr>
          <w:rFonts w:ascii="Times New Roman" w:hAnsi="Times New Roman" w:cs="Times New Roman"/>
          <w:bCs/>
          <w:lang w:val="pt-BR"/>
        </w:rPr>
        <w:t>години</w:t>
      </w:r>
      <w:r w:rsidR="00DB129C" w:rsidRPr="00FE0DD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износила</w:t>
      </w:r>
      <w:r w:rsidR="00DB129C" w:rsidRPr="00FE0DD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pt-BR"/>
        </w:rPr>
        <w:t>је</w:t>
      </w:r>
      <w:r w:rsidR="00DB129C" w:rsidRPr="00FE0DD3">
        <w:rPr>
          <w:rFonts w:ascii="Times New Roman" w:hAnsi="Times New Roman" w:cs="Times New Roman"/>
          <w:bCs/>
        </w:rPr>
        <w:t xml:space="preserve"> </w:t>
      </w:r>
      <w:r w:rsidR="00DB129C" w:rsidRPr="00FE0DD3">
        <w:rPr>
          <w:rFonts w:ascii="Times New Roman" w:hAnsi="Times New Roman" w:cs="Times New Roman"/>
        </w:rPr>
        <w:t xml:space="preserve">4.410.241.494,50 </w:t>
      </w:r>
      <w:r>
        <w:rPr>
          <w:rFonts w:ascii="Times New Roman" w:hAnsi="Times New Roman" w:cs="Times New Roman"/>
          <w:lang w:val="pt-BR"/>
        </w:rPr>
        <w:t>КМ</w:t>
      </w:r>
      <w:r w:rsidR="00DB129C" w:rsidRPr="00FE0DD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pt-BR"/>
        </w:rPr>
        <w:t>Вриједност</w:t>
      </w:r>
      <w:r w:rsidR="00DB129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додијељених</w:t>
      </w:r>
      <w:r w:rsidR="00DB129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уговора</w:t>
      </w:r>
      <w:r w:rsidR="00DB129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групи</w:t>
      </w:r>
      <w:r w:rsidR="00DB129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понуђача</w:t>
      </w:r>
      <w:r w:rsidR="00DB129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износила</w:t>
      </w:r>
      <w:r w:rsidR="00DB129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DB129C" w:rsidRPr="00FE0DD3">
        <w:rPr>
          <w:rFonts w:ascii="Times New Roman" w:hAnsi="Times New Roman" w:cs="Times New Roman"/>
        </w:rPr>
        <w:t xml:space="preserve"> </w:t>
      </w:r>
      <w:r w:rsidR="00DB129C" w:rsidRPr="00FE0DD3">
        <w:rPr>
          <w:rFonts w:ascii="Times New Roman" w:hAnsi="Times New Roman" w:cs="Times New Roman"/>
          <w:color w:val="000000"/>
        </w:rPr>
        <w:t xml:space="preserve">919.360.725,77 </w:t>
      </w:r>
      <w:r>
        <w:rPr>
          <w:rFonts w:ascii="Times New Roman" w:hAnsi="Times New Roman" w:cs="Times New Roman"/>
          <w:lang w:val="pt-BR"/>
        </w:rPr>
        <w:t>КМ</w:t>
      </w:r>
      <w:r w:rsidR="00DB129C" w:rsidRPr="00FE0D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односно</w:t>
      </w:r>
      <w:r w:rsidR="00DB129C" w:rsidRPr="00FE0DD3">
        <w:rPr>
          <w:rFonts w:ascii="Times New Roman" w:hAnsi="Times New Roman" w:cs="Times New Roman"/>
        </w:rPr>
        <w:t xml:space="preserve"> 20.84 % </w:t>
      </w:r>
      <w:r>
        <w:rPr>
          <w:rFonts w:ascii="Times New Roman" w:hAnsi="Times New Roman" w:cs="Times New Roman"/>
          <w:lang w:val="pt-BR"/>
        </w:rPr>
        <w:t>укупне</w:t>
      </w:r>
      <w:r w:rsidR="00DB129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вриједности</w:t>
      </w:r>
      <w:r w:rsidR="00DB129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свих</w:t>
      </w:r>
      <w:r w:rsidR="00DB129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додијељених</w:t>
      </w:r>
      <w:r w:rsidR="00DB129C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уговора</w:t>
      </w:r>
      <w:r w:rsidR="00DB129C" w:rsidRPr="00FE0DD3">
        <w:rPr>
          <w:rFonts w:ascii="Times New Roman" w:hAnsi="Times New Roman" w:cs="Times New Roman"/>
        </w:rPr>
        <w:t>.</w:t>
      </w:r>
    </w:p>
    <w:p w14:paraId="70D4CED0" w14:textId="77777777" w:rsidR="00DB129C" w:rsidRPr="00FE0DD3" w:rsidRDefault="00DB129C" w:rsidP="00DB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FC329A" w14:textId="2DDFFA02" w:rsidR="0046676F" w:rsidRPr="00FE0DD3" w:rsidRDefault="005E4D1F" w:rsidP="00466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Ефекти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3211B70B" w14:textId="6A9716A1" w:rsidR="0021204D" w:rsidRPr="00FE0DD3" w:rsidRDefault="005E4D1F" w:rsidP="00466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lang w:val="pt-BR"/>
        </w:rPr>
        <w:t>Оваква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тржишна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структура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ствара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значајне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системске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ризике</w:t>
      </w:r>
      <w:r w:rsidR="0046676F" w:rsidRPr="00FE0DD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pt-BR"/>
        </w:rPr>
        <w:t>повећава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се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вјероватноћа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формирања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олигопола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неформалног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усклађивања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цијена</w:t>
      </w:r>
      <w:r w:rsidR="0046676F" w:rsidRPr="00FE0D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што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директно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утиче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на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раст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трошкова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јавних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набавки</w:t>
      </w:r>
      <w:r w:rsidR="0046676F" w:rsidRPr="00FE0DD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pt-BR"/>
        </w:rPr>
        <w:t>Истовремено</w:t>
      </w:r>
      <w:r w:rsidR="0046676F" w:rsidRPr="00FE0D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мале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средње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фирме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наилазе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на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високе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улазне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баријере</w:t>
      </w:r>
      <w:r w:rsidR="0046676F" w:rsidRPr="00FE0D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чиме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њихов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приступ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тржишту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ограничен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или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потпуно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онемогућен</w:t>
      </w:r>
      <w:r w:rsidR="0046676F" w:rsidRPr="00FE0DD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pt-BR"/>
        </w:rPr>
        <w:t>Додатно</w:t>
      </w:r>
      <w:r w:rsidR="0046676F" w:rsidRPr="00FE0D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тржиште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губи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еластичност</w:t>
      </w:r>
      <w:r w:rsidR="0046676F" w:rsidRPr="00FE0DD3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lang w:val="pt-BR"/>
        </w:rPr>
        <w:t>смањује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се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могућност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прилагођавања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промјенама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цијена</w:t>
      </w:r>
      <w:r w:rsidR="0046676F" w:rsidRPr="00FE0D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технологија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потражње</w:t>
      </w:r>
      <w:r w:rsidR="0046676F" w:rsidRPr="00FE0DD3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lang w:val="pt-BR"/>
        </w:rPr>
        <w:t>што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дугорочно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дестабилизује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конкурентску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динамику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доводи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нижег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квалитета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повећаних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фискалних</w:t>
      </w:r>
      <w:r w:rsidR="0046676F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ризика</w:t>
      </w:r>
      <w:r w:rsidR="0046676F" w:rsidRPr="00FE0DD3">
        <w:rPr>
          <w:rFonts w:ascii="Times New Roman" w:hAnsi="Times New Roman" w:cs="Times New Roman"/>
        </w:rPr>
        <w:t>.</w:t>
      </w:r>
    </w:p>
    <w:p w14:paraId="6CA7F8F6" w14:textId="55479F69" w:rsidR="0021204D" w:rsidRPr="00FE0DD3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2.6.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Разлози</w:t>
      </w: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поништавања</w:t>
      </w: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поступака</w:t>
      </w: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(2022)</w:t>
      </w:r>
    </w:p>
    <w:p w14:paraId="0306D8A7" w14:textId="09651ECE" w:rsidR="0021204D" w:rsidRPr="00FE0DD3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Главни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разлози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8B225B5" w14:textId="09C922DA" w:rsidR="0021204D" w:rsidRPr="0021204D" w:rsidRDefault="005E4D1F" w:rsidP="00747F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Нема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понуда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14:ligatures w14:val="none"/>
        </w:rPr>
        <w:t>чисти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индикатор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слабе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конкуренције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55D5C96" w14:textId="2CEC5AB6" w:rsidR="0021204D" w:rsidRPr="00FE0DD3" w:rsidRDefault="005E4D1F" w:rsidP="00747F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Све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понуде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неприхватљиве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услови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неусклађени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тржиштем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9B5AA15" w14:textId="3D8AA88E" w:rsidR="0021204D" w:rsidRPr="0021204D" w:rsidRDefault="005E4D1F" w:rsidP="00747F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Грешке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документацији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неусаглашеност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тендера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94A94F7" w14:textId="1F3C48AF" w:rsidR="0021204D" w:rsidRPr="00FE0DD3" w:rsidRDefault="005E4D1F" w:rsidP="00747F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Превазилажење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буџета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раст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нереално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планирање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D417715" w14:textId="77E3B578" w:rsidR="0021204D" w:rsidRPr="00FE0DD3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Ефекти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6E839137" w14:textId="54D8C46D" w:rsidR="0021204D" w:rsidRPr="00FE0DD3" w:rsidRDefault="005E4D1F" w:rsidP="00A1136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lang w:val="pt-BR"/>
        </w:rPr>
        <w:t>Ниска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конкуренција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изостанак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адекватног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тржишног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одзива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производе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низ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негативних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посљедица</w:t>
      </w:r>
      <w:r w:rsidR="00A11363" w:rsidRPr="00FE0DD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pt-BR"/>
        </w:rPr>
        <w:t>Уговорни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органи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све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чешће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морају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понављати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поступке</w:t>
      </w:r>
      <w:r w:rsidR="00A11363" w:rsidRPr="00FE0D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што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директно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повећава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административне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трошкове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продужава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вријеме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набаве</w:t>
      </w:r>
      <w:r w:rsidR="00A11363" w:rsidRPr="00FE0DD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pt-BR"/>
        </w:rPr>
        <w:t>Истовремено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долази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пада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повјерења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тржишта</w:t>
      </w:r>
      <w:r w:rsidR="00A11363" w:rsidRPr="00FE0D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јер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поновљени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тендери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сигнализирају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нестабилност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смањују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интерес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потенцијалних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понуђача</w:t>
      </w:r>
      <w:r w:rsidR="00A11363" w:rsidRPr="00FE0DD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pt-BR"/>
        </w:rPr>
        <w:t>Посебно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забрињава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чињеница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да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поновљеним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поступцима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број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понуда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често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буде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још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мањи</w:t>
      </w:r>
      <w:r w:rsidR="00A11363" w:rsidRPr="00FE0D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што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додатно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погоршава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конкурентске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услове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повећава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ризик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од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преласка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тржишта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стање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хронично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ниске</w:t>
      </w:r>
      <w:r w:rsidR="00A11363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конкуренције</w:t>
      </w:r>
      <w:r w:rsidR="00A11363" w:rsidRPr="00FE0DD3">
        <w:rPr>
          <w:rFonts w:ascii="Times New Roman" w:hAnsi="Times New Roman" w:cs="Times New Roman"/>
        </w:rPr>
        <w:t>.</w:t>
      </w:r>
    </w:p>
    <w:p w14:paraId="4866D7ED" w14:textId="5912C4AE" w:rsidR="0021204D" w:rsidRPr="00CC308F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CC30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2.7.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Додатни</w:t>
      </w:r>
      <w:r w:rsidRPr="00CC30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фактори</w:t>
      </w:r>
      <w:r w:rsidRPr="00CC30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(2022)</w:t>
      </w:r>
    </w:p>
    <w:p w14:paraId="486D50EE" w14:textId="3A22AE2A" w:rsidR="00CC308F" w:rsidRPr="00CC308F" w:rsidRDefault="005E4D1F" w:rsidP="00747F81">
      <w:pPr>
        <w:pStyle w:val="ListParagraph"/>
        <w:numPr>
          <w:ilvl w:val="0"/>
          <w:numId w:val="7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е</w:t>
      </w:r>
      <w:r w:rsidR="00CC308F" w:rsidRPr="00CC30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аукције</w:t>
      </w:r>
    </w:p>
    <w:p w14:paraId="24C6925B" w14:textId="2D7D8704" w:rsidR="00CC308F" w:rsidRPr="00CC308F" w:rsidRDefault="005E4D1F" w:rsidP="00CC30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lastRenderedPageBreak/>
        <w:t>Систем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аукција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биљежи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13.629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проведених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аукција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су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резултирале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11.803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закључена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уз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просјечно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смањење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7,87%.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Иако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ефекат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уштеда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мјерљив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позитиван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ови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резултати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показују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аукција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ефикасна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првенствено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тамо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гдје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већ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постоји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основни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ниво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;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секторима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доминацијом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једне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сингле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бид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ефекти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остају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ограничени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или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потпуно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изостају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70E96301" w14:textId="344CDFFC" w:rsidR="00CC308F" w:rsidRPr="00CC308F" w:rsidRDefault="005E4D1F" w:rsidP="00747F81">
      <w:pPr>
        <w:pStyle w:val="ListParagraph"/>
        <w:numPr>
          <w:ilvl w:val="0"/>
          <w:numId w:val="7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Централизиране</w:t>
      </w:r>
      <w:r w:rsidR="00CC308F" w:rsidRPr="00CC30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набавке</w:t>
      </w:r>
    </w:p>
    <w:p w14:paraId="4488152C" w14:textId="70B72C34" w:rsidR="00CC308F" w:rsidRPr="00CC308F" w:rsidRDefault="005E4D1F" w:rsidP="00CC30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Обим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централизираних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износио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9,86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милиона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КМ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односно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свега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0,22%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укупне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јавних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што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занемарљив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удио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односу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потенцијал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Овај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изузетно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низак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ниво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указује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капацитети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институционални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механизми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централизације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нису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довољно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развијени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утицали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конкуренцију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или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стандардизацију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процеса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33A123E8" w14:textId="73095A2E" w:rsidR="00CC308F" w:rsidRPr="00CC308F" w:rsidRDefault="005E4D1F" w:rsidP="00747F81">
      <w:pPr>
        <w:pStyle w:val="ListParagraph"/>
        <w:numPr>
          <w:ilvl w:val="0"/>
          <w:numId w:val="7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Оквирни</w:t>
      </w:r>
      <w:r w:rsidR="00CC308F" w:rsidRPr="00CC30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споразуми</w:t>
      </w:r>
    </w:p>
    <w:p w14:paraId="47EB5CD6" w14:textId="67A46F0F" w:rsidR="00CC308F" w:rsidRPr="00CC308F" w:rsidRDefault="005E4D1F" w:rsidP="00CC30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Оквирни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споразуми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остварили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су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972,6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милиона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КМ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што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представља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око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24%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укупне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Овај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инструмент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има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значајан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потенцијал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стабилизира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административно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оптерећење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постигне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економије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обима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Међутим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истовремено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носи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ризик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„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закључавања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“,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јер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дугорочне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вишегодишње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структуре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могу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ограничити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приступ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нових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додатно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консолидирати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доминантне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добављаче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B556A9D" w14:textId="134E95A8" w:rsidR="00CC308F" w:rsidRPr="00CC308F" w:rsidRDefault="005E4D1F" w:rsidP="00747F81">
      <w:pPr>
        <w:pStyle w:val="ListParagraph"/>
        <w:numPr>
          <w:ilvl w:val="0"/>
          <w:numId w:val="7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Лотови</w:t>
      </w:r>
    </w:p>
    <w:p w14:paraId="06E7DFF5" w14:textId="12DCC3DD" w:rsidR="00CC308F" w:rsidRPr="00CC308F" w:rsidRDefault="005E4D1F" w:rsidP="00CC30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Подјела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лотове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показује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изразито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позитиван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ефекат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набавкама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роба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гдје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повећава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отвара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простор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учешће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МСП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Међутим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радовима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ефекат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показује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ограниченим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јер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технички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лиценцни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капацитетски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захтјеви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суштински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фаворизују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мали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великих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оператера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што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смањује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функционални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утјецај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лотирања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конкуренцију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0E4B74D" w14:textId="249105C5" w:rsidR="0021204D" w:rsidRPr="00FE0DD3" w:rsidRDefault="0021204D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</w:p>
    <w:p w14:paraId="0158CDF5" w14:textId="23249A6B" w:rsidR="0021204D" w:rsidRPr="00FE0DD3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2.8.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Кључни</w:t>
      </w: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налаз</w:t>
      </w: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за</w:t>
      </w: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2022.</w:t>
      </w:r>
    </w:p>
    <w:p w14:paraId="46E1E055" w14:textId="116BA3A4" w:rsidR="0021204D" w:rsidRPr="00FE0DD3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Формално</w:t>
      </w:r>
      <w:r w:rsidR="0021204D" w:rsidRPr="00FE0D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постоје</w:t>
      </w:r>
      <w:r w:rsidR="0021204D" w:rsidRPr="00FE0D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разноврсне</w:t>
      </w:r>
      <w:r w:rsidR="0021204D" w:rsidRPr="00FE0D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процедуре</w:t>
      </w:r>
      <w:r w:rsidR="0021204D" w:rsidRPr="00FE0D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е</w:t>
      </w:r>
      <w:r w:rsidR="0021204D" w:rsidRPr="00FE0D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14:ligatures w14:val="none"/>
        </w:rPr>
        <w:t>аукције</w:t>
      </w:r>
      <w:r w:rsidR="0021204D" w:rsidRPr="00FE0D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21204D" w:rsidRPr="00FE0D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оквирни</w:t>
      </w:r>
      <w:r w:rsidR="0021204D" w:rsidRPr="00FE0D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споразуми</w:t>
      </w:r>
      <w:r w:rsidR="0021204D" w:rsidRPr="00FE0D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али</w:t>
      </w:r>
      <w:r w:rsidR="0021204D" w:rsidRPr="00FE0D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суштинска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конкуренција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је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слаба</w:t>
      </w:r>
      <w:r w:rsidR="0021204D" w:rsidRPr="00FE0D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6267FCC9" w14:textId="3505317C" w:rsidR="0021204D" w:rsidRPr="0021204D" w:rsidRDefault="005E4D1F" w:rsidP="00747F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просјек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од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2,14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понуда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4A59A381" w14:textId="04B5E03C" w:rsidR="0021204D" w:rsidRPr="0021204D" w:rsidRDefault="005E4D1F" w:rsidP="00747F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високи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удјели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сингле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14:ligatures w14:val="none"/>
        </w:rPr>
        <w:t>бид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поступака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6BE268B2" w14:textId="3E204424" w:rsidR="0021204D" w:rsidRPr="00FE0DD3" w:rsidRDefault="005E4D1F" w:rsidP="00747F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концентрација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малом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броју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великих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играча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67D776E3" w14:textId="69231577" w:rsidR="0021204D" w:rsidRDefault="005E4D1F" w:rsidP="00747F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занемарива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централизација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B51A739" w14:textId="4D4B73C6" w:rsidR="007D1368" w:rsidRDefault="005E4D1F" w:rsidP="007D1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Иако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систем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формално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обухвата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различите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процедуре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14:ligatures w14:val="none"/>
        </w:rPr>
        <w:t>аукције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оквирне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споразуме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суштинска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конкуренција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остаје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слаба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Просјечан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број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понуда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износи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само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2,14,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удио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сингле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14:ligatures w14:val="none"/>
        </w:rPr>
        <w:t>бид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поступака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висок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вриједност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набавки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концентрисана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малом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броју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великих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понуђача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централизиране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набавке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су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скоро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занемариве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Оваква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тржишна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структура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показује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расположиви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инструменти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производе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очекивани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конкурентски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притисак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2B168B2" w14:textId="240A501A" w:rsidR="007D1368" w:rsidRPr="007D1368" w:rsidRDefault="005E4D1F" w:rsidP="007D1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Потребно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активно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повећати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стварну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конкуренцију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кроз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ширење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тржишног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учешћа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прије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свега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јачањем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улоге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МСП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повећањем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обима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централизираних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набавки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досљедном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примјеном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подјеле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лотове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циљаном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примјеном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конкурентских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процедура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14:ligatures w14:val="none"/>
        </w:rPr>
        <w:t>Истовремено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треба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смањити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удјеле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поступака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који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природи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носе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низак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конкурентски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потенцијал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14:ligatures w14:val="none"/>
        </w:rPr>
        <w:t>сингле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14:ligatures w14:val="none"/>
        </w:rPr>
        <w:t>бид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ПБО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ДС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областима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гдје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тржиште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омогућава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већи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број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учесника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14:ligatures w14:val="none"/>
        </w:rPr>
        <w:t>Тиме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би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обезбиједио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јачи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тржишни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притисак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разбијање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концентрације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равномјернији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приступ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тржишту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различите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категорије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понуђача</w:t>
      </w:r>
      <w:r w:rsidR="007D1368" w:rsidRPr="007D136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3C87507" w14:textId="77777777" w:rsidR="007D1368" w:rsidRPr="0021204D" w:rsidRDefault="007D1368" w:rsidP="007D1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F8D6FA" w14:textId="34185566" w:rsidR="0021204D" w:rsidRPr="0021204D" w:rsidRDefault="0021204D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5C1FF8" w14:textId="4682CF67" w:rsidR="0021204D" w:rsidRPr="00FE0DD3" w:rsidRDefault="0021204D" w:rsidP="002120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E0DD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 xml:space="preserve">3. </w:t>
      </w:r>
      <w:r w:rsidR="005E4D1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pt-BR"/>
          <w14:ligatures w14:val="none"/>
        </w:rPr>
        <w:t>Конкуренција</w:t>
      </w:r>
      <w:r w:rsidRPr="00FE0DD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pt-BR"/>
          <w14:ligatures w14:val="none"/>
        </w:rPr>
        <w:t>у</w:t>
      </w:r>
      <w:r w:rsidRPr="00FE0DD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 xml:space="preserve"> 2023. </w:t>
      </w:r>
      <w:r w:rsidR="005E4D1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pt-BR"/>
          <w14:ligatures w14:val="none"/>
        </w:rPr>
        <w:t>години</w:t>
      </w:r>
    </w:p>
    <w:p w14:paraId="21433D32" w14:textId="01B0A33C" w:rsidR="0021204D" w:rsidRPr="00FE0DD3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3.1.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Број</w:t>
      </w:r>
      <w:r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структура</w:t>
      </w:r>
      <w:r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понуда</w:t>
      </w:r>
      <w:r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–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погоршање</w:t>
      </w:r>
      <w:r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стања</w:t>
      </w:r>
    </w:p>
    <w:p w14:paraId="2B8F614F" w14:textId="0498C7D9" w:rsidR="0021204D" w:rsidRPr="00FE0DD3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2023.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години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додатно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погоршава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694EBBE" w14:textId="098DC09C" w:rsidR="0021204D" w:rsidRPr="0021204D" w:rsidRDefault="005E4D1F" w:rsidP="00747F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просјечан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број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примљених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понуда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1,62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0A249BE9" w14:textId="38DE2B3A" w:rsidR="0021204D" w:rsidRDefault="005E4D1F" w:rsidP="00747F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просјечан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број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прихватљивих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понуда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1,49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1547462" w14:textId="3001AC3E" w:rsidR="00DB129C" w:rsidRPr="0021204D" w:rsidRDefault="00DB129C" w:rsidP="00DB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w:drawing>
          <wp:inline distT="0" distB="0" distL="0" distR="0" wp14:anchorId="4B399BCB" wp14:editId="0E0F24E2">
            <wp:extent cx="5943600" cy="2990215"/>
            <wp:effectExtent l="0" t="0" r="0" b="635"/>
            <wp:docPr id="160023950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84C4F7-5D5E-0F48-F3A0-093E8C5FCE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97E02DA" w14:textId="3A7CB7C1" w:rsidR="0021204D" w:rsidRPr="00FE0DD3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То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значи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већина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поступака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практично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имала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само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1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понуду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или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2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најбољем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случају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2402A6E" w14:textId="34E10DCE" w:rsidR="0021204D" w:rsidRPr="0021204D" w:rsidRDefault="005E4D1F" w:rsidP="00212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) </w:t>
      </w:r>
      <w:r w:rsidR="00FE64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Поглавље I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(2023)</w:t>
      </w:r>
    </w:p>
    <w:p w14:paraId="62A89181" w14:textId="060D1999" w:rsidR="0021204D" w:rsidRPr="0021204D" w:rsidRDefault="005E4D1F" w:rsidP="00747F8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вриједност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4.015.518.672,64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КМ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(≈ 79,36%),</w:t>
      </w:r>
    </w:p>
    <w:p w14:paraId="77E2F001" w14:textId="48E317F4" w:rsidR="0021204D" w:rsidRDefault="005E4D1F" w:rsidP="00747F8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број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уговора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65.506 (26,86%)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tbl>
      <w:tblPr>
        <w:tblW w:w="9270" w:type="dxa"/>
        <w:tblInd w:w="-10" w:type="dxa"/>
        <w:tblLook w:val="04A0" w:firstRow="1" w:lastRow="0" w:firstColumn="1" w:lastColumn="0" w:noHBand="0" w:noVBand="1"/>
      </w:tblPr>
      <w:tblGrid>
        <w:gridCol w:w="957"/>
        <w:gridCol w:w="2595"/>
        <w:gridCol w:w="1716"/>
        <w:gridCol w:w="1899"/>
        <w:gridCol w:w="2103"/>
      </w:tblGrid>
      <w:tr w:rsidR="00067A3D" w:rsidRPr="00F715CD" w14:paraId="0405A26F" w14:textId="77777777" w:rsidTr="00794102">
        <w:trPr>
          <w:trHeight w:val="645"/>
        </w:trPr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B10B4D0" w14:textId="77777777" w:rsidR="00067A3D" w:rsidRPr="00067A3D" w:rsidRDefault="00067A3D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067A3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AF54870" w14:textId="54296817" w:rsidR="00067A3D" w:rsidRPr="00067A3D" w:rsidRDefault="00FE64DA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Поглавље I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EE89EFE" w14:textId="4910DFA6" w:rsidR="00067A3D" w:rsidRPr="00067A3D" w:rsidRDefault="00FE64DA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Поглавље V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D2859DA" w14:textId="6B323592" w:rsidR="00067A3D" w:rsidRPr="00067A3D" w:rsidRDefault="00FE64DA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Анекс II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200BE966" w14:textId="5B12D888" w:rsidR="00067A3D" w:rsidRPr="00067A3D" w:rsidRDefault="005E4D1F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Укупно</w:t>
            </w:r>
            <w:r w:rsidR="00067A3D" w:rsidRPr="00067A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</w:tr>
      <w:tr w:rsidR="00067A3D" w:rsidRPr="00F715CD" w14:paraId="34423041" w14:textId="77777777" w:rsidTr="00794102">
        <w:trPr>
          <w:trHeight w:val="64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7352E86" w14:textId="421A0AB7" w:rsidR="00067A3D" w:rsidRPr="00067A3D" w:rsidRDefault="005E4D1F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КМ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E46BF57" w14:textId="77777777" w:rsidR="00067A3D" w:rsidRPr="00067A3D" w:rsidRDefault="00067A3D" w:rsidP="007941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4.015.518.672,64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2765B0" w14:textId="77777777" w:rsidR="00067A3D" w:rsidRPr="00067A3D" w:rsidRDefault="00067A3D" w:rsidP="007941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328.139.437,20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174FF29" w14:textId="77777777" w:rsidR="00067A3D" w:rsidRPr="00067A3D" w:rsidRDefault="00067A3D" w:rsidP="007941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716.474.015,77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06D82DC" w14:textId="77777777" w:rsidR="00067A3D" w:rsidRPr="00067A3D" w:rsidRDefault="00067A3D" w:rsidP="007941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5.060.132.125,61</w:t>
            </w:r>
          </w:p>
        </w:tc>
      </w:tr>
      <w:tr w:rsidR="00067A3D" w:rsidRPr="00F715CD" w14:paraId="13B2F916" w14:textId="77777777" w:rsidTr="00794102">
        <w:trPr>
          <w:trHeight w:val="540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1EAAD" w14:textId="77777777" w:rsidR="00067A3D" w:rsidRPr="00067A3D" w:rsidRDefault="00067A3D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D4F078" w14:textId="77777777" w:rsidR="00067A3D" w:rsidRPr="00067A3D" w:rsidRDefault="00067A3D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sz w:val="18"/>
                <w:szCs w:val="18"/>
              </w:rPr>
              <w:t>79.36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1A34EF" w14:textId="77777777" w:rsidR="00067A3D" w:rsidRPr="00067A3D" w:rsidRDefault="00067A3D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sz w:val="18"/>
                <w:szCs w:val="18"/>
              </w:rPr>
              <w:t>6.48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6DB315" w14:textId="77777777" w:rsidR="00067A3D" w:rsidRPr="00067A3D" w:rsidRDefault="00067A3D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sz w:val="18"/>
                <w:szCs w:val="18"/>
              </w:rPr>
              <w:t>14.16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7BE2A8" w14:textId="77777777" w:rsidR="00067A3D" w:rsidRPr="00067A3D" w:rsidRDefault="00067A3D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</w:tbl>
    <w:p w14:paraId="4058004F" w14:textId="1CC7123A" w:rsidR="00067A3D" w:rsidRPr="0021204D" w:rsidRDefault="00067A3D" w:rsidP="00067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w:drawing>
          <wp:inline distT="0" distB="0" distL="0" distR="0" wp14:anchorId="1C12F9F0" wp14:editId="1F0B2EE0">
            <wp:extent cx="5868035" cy="2584174"/>
            <wp:effectExtent l="0" t="0" r="18415" b="6985"/>
            <wp:docPr id="169881733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785EA6A-210D-71FD-3CD1-2E1D4A5A02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080"/>
        <w:gridCol w:w="2070"/>
        <w:gridCol w:w="2160"/>
        <w:gridCol w:w="2430"/>
        <w:gridCol w:w="1530"/>
      </w:tblGrid>
      <w:tr w:rsidR="00067A3D" w:rsidRPr="00B87290" w14:paraId="4AE1F202" w14:textId="77777777" w:rsidTr="00794102">
        <w:trPr>
          <w:jc w:val="center"/>
        </w:trPr>
        <w:tc>
          <w:tcPr>
            <w:tcW w:w="9270" w:type="dxa"/>
            <w:gridSpan w:val="5"/>
            <w:shd w:val="clear" w:color="auto" w:fill="FFFF00"/>
          </w:tcPr>
          <w:p w14:paraId="3301107A" w14:textId="33553151" w:rsidR="00067A3D" w:rsidRPr="00067A3D" w:rsidRDefault="005E4D1F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Укупни</w:t>
            </w:r>
            <w:r w:rsidR="00067A3D" w:rsidRPr="00067A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број</w:t>
            </w:r>
            <w:r w:rsidR="00067A3D" w:rsidRPr="00067A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закључених</w:t>
            </w:r>
            <w:r w:rsidR="00067A3D" w:rsidRPr="00067A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67A3D" w:rsidRPr="00067A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додијељених</w:t>
            </w:r>
            <w:r w:rsidR="00067A3D" w:rsidRPr="00067A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уговора</w:t>
            </w:r>
            <w:r w:rsidR="00067A3D" w:rsidRPr="00067A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067A3D" w:rsidRPr="00067A3D">
              <w:rPr>
                <w:rFonts w:ascii="Times New Roman" w:hAnsi="Times New Roman" w:cs="Times New Roman"/>
                <w:sz w:val="18"/>
                <w:szCs w:val="18"/>
              </w:rPr>
              <w:t xml:space="preserve"> 2023.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години</w:t>
            </w:r>
          </w:p>
        </w:tc>
      </w:tr>
      <w:tr w:rsidR="00067A3D" w:rsidRPr="00B87290" w14:paraId="15C87DF2" w14:textId="77777777" w:rsidTr="00794102">
        <w:trPr>
          <w:jc w:val="center"/>
        </w:trPr>
        <w:tc>
          <w:tcPr>
            <w:tcW w:w="1080" w:type="dxa"/>
            <w:shd w:val="clear" w:color="auto" w:fill="FFFF00"/>
          </w:tcPr>
          <w:p w14:paraId="590E20D3" w14:textId="77777777" w:rsidR="00067A3D" w:rsidRPr="00067A3D" w:rsidRDefault="00067A3D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00"/>
          </w:tcPr>
          <w:p w14:paraId="0E0E204A" w14:textId="1CBA4F7F" w:rsidR="00067A3D" w:rsidRPr="00067A3D" w:rsidRDefault="00FE64DA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Поглавље I</w:t>
            </w:r>
          </w:p>
        </w:tc>
        <w:tc>
          <w:tcPr>
            <w:tcW w:w="2160" w:type="dxa"/>
            <w:shd w:val="clear" w:color="auto" w:fill="FFFF00"/>
          </w:tcPr>
          <w:p w14:paraId="4EF95DFF" w14:textId="47644DAC" w:rsidR="00067A3D" w:rsidRPr="00067A3D" w:rsidRDefault="00FE64DA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Поглавље V</w:t>
            </w:r>
          </w:p>
        </w:tc>
        <w:tc>
          <w:tcPr>
            <w:tcW w:w="2430" w:type="dxa"/>
            <w:shd w:val="clear" w:color="auto" w:fill="FFFF00"/>
          </w:tcPr>
          <w:p w14:paraId="4F97D26F" w14:textId="668FC610" w:rsidR="00067A3D" w:rsidRPr="00067A3D" w:rsidRDefault="00FE64DA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Анекс II</w:t>
            </w:r>
          </w:p>
        </w:tc>
        <w:tc>
          <w:tcPr>
            <w:tcW w:w="1530" w:type="dxa"/>
            <w:shd w:val="clear" w:color="auto" w:fill="FFFF00"/>
          </w:tcPr>
          <w:p w14:paraId="0E70BB27" w14:textId="1C6ED82E" w:rsidR="00067A3D" w:rsidRPr="00067A3D" w:rsidRDefault="005E4D1F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Укупно</w:t>
            </w:r>
          </w:p>
        </w:tc>
      </w:tr>
      <w:tr w:rsidR="00067A3D" w:rsidRPr="00B87290" w14:paraId="0B571929" w14:textId="77777777" w:rsidTr="00794102">
        <w:trPr>
          <w:trHeight w:val="242"/>
          <w:jc w:val="center"/>
        </w:trPr>
        <w:tc>
          <w:tcPr>
            <w:tcW w:w="1080" w:type="dxa"/>
            <w:shd w:val="clear" w:color="auto" w:fill="FFFF00"/>
          </w:tcPr>
          <w:p w14:paraId="479457EC" w14:textId="27614B81" w:rsidR="00067A3D" w:rsidRPr="00067A3D" w:rsidRDefault="005E4D1F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2070" w:type="dxa"/>
            <w:shd w:val="clear" w:color="auto" w:fill="FFFF00"/>
            <w:vAlign w:val="bottom"/>
          </w:tcPr>
          <w:p w14:paraId="20FDDC9E" w14:textId="77777777" w:rsidR="00067A3D" w:rsidRPr="00067A3D" w:rsidRDefault="00067A3D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 w:rsidRPr="00067A3D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65.506</w:t>
            </w:r>
          </w:p>
        </w:tc>
        <w:tc>
          <w:tcPr>
            <w:tcW w:w="2160" w:type="dxa"/>
            <w:shd w:val="clear" w:color="auto" w:fill="FFFF00"/>
          </w:tcPr>
          <w:p w14:paraId="460551BF" w14:textId="77777777" w:rsidR="00067A3D" w:rsidRPr="00067A3D" w:rsidRDefault="00067A3D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sz w:val="18"/>
                <w:szCs w:val="18"/>
              </w:rPr>
              <w:t>154.840</w:t>
            </w:r>
          </w:p>
        </w:tc>
        <w:tc>
          <w:tcPr>
            <w:tcW w:w="2430" w:type="dxa"/>
            <w:shd w:val="clear" w:color="auto" w:fill="FFFF00"/>
          </w:tcPr>
          <w:p w14:paraId="551DD6A4" w14:textId="77777777" w:rsidR="00067A3D" w:rsidRPr="00067A3D" w:rsidRDefault="00067A3D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sz w:val="18"/>
                <w:szCs w:val="18"/>
              </w:rPr>
              <w:t>23.514</w:t>
            </w:r>
          </w:p>
        </w:tc>
        <w:tc>
          <w:tcPr>
            <w:tcW w:w="1530" w:type="dxa"/>
            <w:shd w:val="clear" w:color="auto" w:fill="FFFF00"/>
          </w:tcPr>
          <w:p w14:paraId="74C02BA4" w14:textId="77777777" w:rsidR="00067A3D" w:rsidRPr="00067A3D" w:rsidRDefault="00067A3D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sz w:val="18"/>
                <w:szCs w:val="18"/>
              </w:rPr>
              <w:t>243.860</w:t>
            </w:r>
          </w:p>
        </w:tc>
      </w:tr>
      <w:tr w:rsidR="00067A3D" w:rsidRPr="00B87290" w14:paraId="3D34CB9A" w14:textId="77777777" w:rsidTr="00794102">
        <w:trPr>
          <w:jc w:val="center"/>
        </w:trPr>
        <w:tc>
          <w:tcPr>
            <w:tcW w:w="1080" w:type="dxa"/>
          </w:tcPr>
          <w:p w14:paraId="276CE0A2" w14:textId="77777777" w:rsidR="00067A3D" w:rsidRPr="00067A3D" w:rsidRDefault="00067A3D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070" w:type="dxa"/>
          </w:tcPr>
          <w:p w14:paraId="16F27D2C" w14:textId="77777777" w:rsidR="00067A3D" w:rsidRPr="00067A3D" w:rsidRDefault="00067A3D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sz w:val="18"/>
                <w:szCs w:val="18"/>
              </w:rPr>
              <w:t>26.86</w:t>
            </w:r>
          </w:p>
        </w:tc>
        <w:tc>
          <w:tcPr>
            <w:tcW w:w="2160" w:type="dxa"/>
          </w:tcPr>
          <w:p w14:paraId="6FB8BE0C" w14:textId="77777777" w:rsidR="00067A3D" w:rsidRPr="00067A3D" w:rsidRDefault="00067A3D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sz w:val="18"/>
                <w:szCs w:val="18"/>
              </w:rPr>
              <w:t>63.50</w:t>
            </w:r>
          </w:p>
        </w:tc>
        <w:tc>
          <w:tcPr>
            <w:tcW w:w="2430" w:type="dxa"/>
          </w:tcPr>
          <w:p w14:paraId="1D5FD3FD" w14:textId="77777777" w:rsidR="00067A3D" w:rsidRPr="00067A3D" w:rsidRDefault="00067A3D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sz w:val="18"/>
                <w:szCs w:val="18"/>
              </w:rPr>
              <w:t>9.64</w:t>
            </w:r>
          </w:p>
        </w:tc>
        <w:tc>
          <w:tcPr>
            <w:tcW w:w="1530" w:type="dxa"/>
          </w:tcPr>
          <w:p w14:paraId="00544DAE" w14:textId="77777777" w:rsidR="00067A3D" w:rsidRPr="00067A3D" w:rsidRDefault="00067A3D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</w:tbl>
    <w:p w14:paraId="033972FE" w14:textId="14E6FC94" w:rsidR="00067A3D" w:rsidRDefault="00067A3D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noProof/>
        </w:rPr>
        <w:drawing>
          <wp:inline distT="0" distB="0" distL="0" distR="0" wp14:anchorId="7C746F56" wp14:editId="19E03194">
            <wp:extent cx="5883965" cy="2743200"/>
            <wp:effectExtent l="0" t="0" r="2540" b="0"/>
            <wp:docPr id="155075213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AE53D14-C04E-BD9A-E62F-616C43D20B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1D452D4" w14:textId="77777777" w:rsidR="00067A3D" w:rsidRDefault="00067A3D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</w:p>
    <w:p w14:paraId="581E5704" w14:textId="4A5EE571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Отворени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остаје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доминантан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сада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нижем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нивоу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1EFD09A6" w14:textId="679EC8D8" w:rsidR="0021204D" w:rsidRPr="0021204D" w:rsidRDefault="005E4D1F" w:rsidP="00747F8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значајан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отворених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има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само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једну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понуду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6C67ECEF" w14:textId="4123E490" w:rsidR="0021204D" w:rsidRDefault="005E4D1F" w:rsidP="00747F8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ПБО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расте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цца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306,4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мил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КМ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(≈ 7,63% </w:t>
      </w:r>
      <w:r>
        <w:rPr>
          <w:rFonts w:ascii="Times New Roman" w:eastAsia="Times New Roman" w:hAnsi="Times New Roman" w:cs="Times New Roman"/>
          <w:kern w:val="0"/>
          <w14:ligatures w14:val="none"/>
        </w:rPr>
        <w:t>вриједности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E64DA">
        <w:rPr>
          <w:rFonts w:ascii="Times New Roman" w:eastAsia="Times New Roman" w:hAnsi="Times New Roman" w:cs="Times New Roman"/>
          <w:kern w:val="0"/>
          <w14:ligatures w14:val="none"/>
        </w:rPr>
        <w:t>Поглављеа I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51FAA0A0" w14:textId="77777777" w:rsidR="00717159" w:rsidRPr="00717159" w:rsidRDefault="00717159" w:rsidP="00717159">
      <w:pPr>
        <w:pStyle w:val="ListParagraph"/>
        <w:jc w:val="both"/>
        <w:rPr>
          <w:i/>
          <w:iCs/>
          <w:color w:val="000000"/>
        </w:rPr>
      </w:pPr>
    </w:p>
    <w:p w14:paraId="0A725570" w14:textId="2DF66048" w:rsidR="00717159" w:rsidRPr="00717159" w:rsidRDefault="005E4D1F" w:rsidP="00717159">
      <w:pPr>
        <w:pStyle w:val="ListParagraph"/>
        <w:ind w:left="0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</w:rPr>
        <w:t>Вриједност</w:t>
      </w:r>
      <w:r w:rsidR="00717159" w:rsidRPr="007171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додијељених</w:t>
      </w:r>
      <w:r w:rsidR="00717159" w:rsidRPr="007171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уговора</w:t>
      </w:r>
      <w:r w:rsidR="00717159" w:rsidRPr="007171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717159" w:rsidRPr="007171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преговарачком</w:t>
      </w:r>
      <w:r w:rsidR="00717159" w:rsidRPr="007171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поступку</w:t>
      </w:r>
      <w:r w:rsidR="00717159" w:rsidRPr="007171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без</w:t>
      </w:r>
      <w:r w:rsidR="00717159" w:rsidRPr="007171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објаве</w:t>
      </w:r>
      <w:r w:rsidR="00717159" w:rsidRPr="007171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обавјештења</w:t>
      </w:r>
      <w:r w:rsidR="00717159" w:rsidRPr="007171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717159" w:rsidRPr="00717159">
        <w:rPr>
          <w:rFonts w:ascii="Times New Roman" w:hAnsi="Times New Roman" w:cs="Times New Roman"/>
        </w:rPr>
        <w:t xml:space="preserve"> 2023. </w:t>
      </w:r>
      <w:r>
        <w:rPr>
          <w:rFonts w:ascii="Times New Roman" w:hAnsi="Times New Roman" w:cs="Times New Roman"/>
        </w:rPr>
        <w:t>години</w:t>
      </w:r>
      <w:r w:rsidR="00717159" w:rsidRPr="007171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је</w:t>
      </w:r>
      <w:r w:rsidR="00717159" w:rsidRPr="007171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износио</w:t>
      </w:r>
      <w:r w:rsidR="00717159" w:rsidRPr="007171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укупно</w:t>
      </w:r>
      <w:r w:rsidR="00717159" w:rsidRPr="00717159">
        <w:rPr>
          <w:rFonts w:ascii="Times New Roman" w:hAnsi="Times New Roman" w:cs="Times New Roman"/>
        </w:rPr>
        <w:t xml:space="preserve"> </w:t>
      </w:r>
      <w:r w:rsidR="00717159" w:rsidRPr="00717159">
        <w:rPr>
          <w:rFonts w:ascii="Times New Roman" w:hAnsi="Times New Roman" w:cs="Times New Roman"/>
          <w:b/>
          <w:color w:val="000000"/>
        </w:rPr>
        <w:t xml:space="preserve">306.440.397,12 </w:t>
      </w:r>
      <w:r>
        <w:rPr>
          <w:rFonts w:ascii="Times New Roman" w:hAnsi="Times New Roman" w:cs="Times New Roman"/>
          <w:color w:val="000000"/>
        </w:rPr>
        <w:t>КМ</w:t>
      </w:r>
      <w:r w:rsidR="00717159" w:rsidRPr="0071715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или</w:t>
      </w:r>
      <w:r w:rsidR="00717159" w:rsidRPr="00717159">
        <w:rPr>
          <w:rFonts w:ascii="Times New Roman" w:hAnsi="Times New Roman" w:cs="Times New Roman"/>
          <w:color w:val="000000"/>
        </w:rPr>
        <w:t xml:space="preserve"> </w:t>
      </w:r>
      <w:r w:rsidR="00717159" w:rsidRPr="00717159">
        <w:rPr>
          <w:rFonts w:ascii="Times New Roman" w:hAnsi="Times New Roman" w:cs="Times New Roman"/>
          <w:b/>
          <w:bCs/>
          <w:color w:val="000000"/>
        </w:rPr>
        <w:t xml:space="preserve">7.63 </w:t>
      </w:r>
      <w:r w:rsidR="00717159" w:rsidRPr="00717159">
        <w:rPr>
          <w:rFonts w:ascii="Times New Roman" w:hAnsi="Times New Roman" w:cs="Times New Roman"/>
          <w:color w:val="000000"/>
        </w:rPr>
        <w:t xml:space="preserve">% </w:t>
      </w:r>
      <w:r>
        <w:rPr>
          <w:rFonts w:ascii="Times New Roman" w:hAnsi="Times New Roman" w:cs="Times New Roman"/>
          <w:color w:val="000000"/>
        </w:rPr>
        <w:t>од</w:t>
      </w:r>
      <w:r w:rsidR="00717159" w:rsidRPr="0071715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свих</w:t>
      </w:r>
      <w:r w:rsidR="00717159" w:rsidRPr="0071715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додијељених</w:t>
      </w:r>
      <w:r w:rsidR="00717159" w:rsidRPr="0071715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уговора</w:t>
      </w:r>
      <w:r w:rsidR="00717159" w:rsidRPr="0071715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="00717159" w:rsidRPr="0071715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поступцима</w:t>
      </w:r>
      <w:r w:rsidR="00717159" w:rsidRPr="00717159">
        <w:rPr>
          <w:rFonts w:ascii="Times New Roman" w:hAnsi="Times New Roman" w:cs="Times New Roman"/>
          <w:color w:val="000000"/>
        </w:rPr>
        <w:t xml:space="preserve"> „</w:t>
      </w:r>
      <w:r w:rsidR="00FE64DA">
        <w:rPr>
          <w:rFonts w:ascii="Times New Roman" w:hAnsi="Times New Roman" w:cs="Times New Roman"/>
          <w:color w:val="000000"/>
        </w:rPr>
        <w:t>Поглавља I</w:t>
      </w:r>
      <w:r w:rsidR="00717159" w:rsidRPr="00717159">
        <w:rPr>
          <w:rFonts w:ascii="Times New Roman" w:hAnsi="Times New Roman" w:cs="Times New Roman"/>
          <w:color w:val="000000"/>
        </w:rPr>
        <w:t>“</w:t>
      </w:r>
      <w:r w:rsidR="00717159" w:rsidRPr="00717159">
        <w:rPr>
          <w:rFonts w:ascii="Times New Roman" w:hAnsi="Times New Roman" w:cs="Times New Roman"/>
          <w:color w:val="000000" w:themeColor="text1"/>
        </w:rPr>
        <w:t>,</w:t>
      </w:r>
      <w:r w:rsidR="00717159" w:rsidRPr="00717159">
        <w:rPr>
          <w:rFonts w:ascii="Times New Roman" w:hAnsi="Times New Roman" w:cs="Times New Roman"/>
          <w:i/>
          <w:iCs/>
          <w:color w:val="FF0000"/>
        </w:rPr>
        <w:t xml:space="preserve"> </w:t>
      </w:r>
      <w:r>
        <w:rPr>
          <w:rFonts w:ascii="Times New Roman" w:hAnsi="Times New Roman" w:cs="Times New Roman"/>
        </w:rPr>
        <w:t>односно</w:t>
      </w:r>
      <w:r w:rsidR="00717159" w:rsidRPr="00717159">
        <w:rPr>
          <w:rFonts w:ascii="Times New Roman" w:hAnsi="Times New Roman" w:cs="Times New Roman"/>
        </w:rPr>
        <w:t xml:space="preserve"> 6.05 % </w:t>
      </w:r>
      <w:r>
        <w:rPr>
          <w:rFonts w:ascii="Times New Roman" w:hAnsi="Times New Roman" w:cs="Times New Roman"/>
        </w:rPr>
        <w:t>од</w:t>
      </w:r>
      <w:r w:rsidR="00717159" w:rsidRPr="007171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свих</w:t>
      </w:r>
      <w:r w:rsidR="00717159" w:rsidRPr="007171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додијељених</w:t>
      </w:r>
      <w:r w:rsidR="00717159" w:rsidRPr="007171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уговора</w:t>
      </w:r>
      <w:r w:rsidR="00717159" w:rsidRPr="007171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717159" w:rsidRPr="00717159">
        <w:rPr>
          <w:rFonts w:ascii="Times New Roman" w:hAnsi="Times New Roman" w:cs="Times New Roman"/>
        </w:rPr>
        <w:t xml:space="preserve"> 2023. </w:t>
      </w:r>
      <w:r>
        <w:rPr>
          <w:rFonts w:ascii="Times New Roman" w:hAnsi="Times New Roman" w:cs="Times New Roman"/>
        </w:rPr>
        <w:t>години</w:t>
      </w:r>
      <w:r w:rsidR="00717159" w:rsidRPr="00717159">
        <w:rPr>
          <w:rFonts w:ascii="Times New Roman" w:hAnsi="Times New Roman" w:cs="Times New Roman"/>
        </w:rPr>
        <w:t>.</w:t>
      </w:r>
    </w:p>
    <w:p w14:paraId="7BA42698" w14:textId="4D53D11F" w:rsidR="00067A3D" w:rsidRPr="0021204D" w:rsidRDefault="00067A3D" w:rsidP="00067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w:drawing>
          <wp:inline distT="0" distB="0" distL="0" distR="0" wp14:anchorId="238A6835" wp14:editId="0FCC79D8">
            <wp:extent cx="5905500" cy="2743200"/>
            <wp:effectExtent l="0" t="0" r="0" b="0"/>
            <wp:docPr id="13262940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B14BBA7-C356-BAB0-8E61-381428908A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6C8A5F1" w14:textId="56DD7AF6" w:rsidR="00920237" w:rsidRPr="00920237" w:rsidRDefault="005E4D1F" w:rsidP="00920237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Порука</w:t>
      </w:r>
      <w:r w:rsidR="00920237" w:rsidRPr="009202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је</w:t>
      </w:r>
      <w:r w:rsidR="00920237" w:rsidRPr="009202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забрињавајућа</w:t>
      </w:r>
      <w:r w:rsidR="00920237" w:rsidRPr="00920237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чак</w:t>
      </w:r>
      <w:r w:rsidR="00920237" w:rsidRPr="009202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920237" w:rsidRPr="009202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отворени</w:t>
      </w:r>
      <w:r w:rsidR="00920237" w:rsidRPr="009202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поступак</w:t>
      </w:r>
      <w:r w:rsidR="00920237" w:rsidRPr="0092023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као</w:t>
      </w:r>
      <w:r w:rsidR="00920237" w:rsidRPr="009202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најтранспарентнији</w:t>
      </w:r>
      <w:r w:rsidR="00920237" w:rsidRPr="009202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облик</w:t>
      </w:r>
      <w:r w:rsidR="00920237" w:rsidRPr="009202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јавне</w:t>
      </w:r>
      <w:r w:rsidR="00920237" w:rsidRPr="009202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набавке</w:t>
      </w:r>
      <w:r w:rsidR="00920237" w:rsidRPr="0092023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више</w:t>
      </w:r>
      <w:r w:rsidR="00920237" w:rsidRPr="009202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</w:t>
      </w:r>
      <w:r w:rsidR="00920237" w:rsidRPr="009202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привлачи</w:t>
      </w:r>
      <w:r w:rsidR="00920237" w:rsidRPr="009202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довољно</w:t>
      </w:r>
      <w:r w:rsidR="00920237" w:rsidRPr="009202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учесника</w:t>
      </w:r>
      <w:r w:rsidR="00920237" w:rsidRPr="009202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</w:t>
      </w:r>
      <w:r w:rsidR="00920237" w:rsidRPr="009202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би</w:t>
      </w:r>
      <w:r w:rsidR="00920237" w:rsidRPr="009202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</w:t>
      </w:r>
      <w:r w:rsidR="00920237" w:rsidRPr="009202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остварила</w:t>
      </w:r>
      <w:r w:rsidR="00920237" w:rsidRPr="009202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стварна</w:t>
      </w:r>
      <w:r w:rsidR="00920237" w:rsidRPr="009202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конкуренција</w:t>
      </w:r>
      <w:r w:rsidR="00920237" w:rsidRPr="00920237">
        <w:rPr>
          <w:rFonts w:ascii="Times New Roman" w:hAnsi="Times New Roman" w:cs="Times New Roman"/>
        </w:rPr>
        <w:t>.</w:t>
      </w:r>
    </w:p>
    <w:p w14:paraId="239EAE92" w14:textId="3FAC0BA5" w:rsidR="0021204D" w:rsidRPr="0021204D" w:rsidRDefault="005E4D1F" w:rsidP="00212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б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) </w:t>
      </w:r>
      <w:r w:rsidR="00FE64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Поглавље V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(2023)</w:t>
      </w:r>
    </w:p>
    <w:p w14:paraId="199BDDED" w14:textId="6B52EA91" w:rsidR="0021204D" w:rsidRPr="0021204D" w:rsidRDefault="005E4D1F" w:rsidP="00747F8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вриједност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328.139.437,20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КМ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(6,48%)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0B9D7A22" w14:textId="0E45E8E4" w:rsidR="0021204D" w:rsidRPr="0021204D" w:rsidRDefault="005E4D1F" w:rsidP="00747F8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број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уговора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154.840 (63,50%)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3632433" w14:textId="5B497878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Директни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споразум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7D7074B1" w14:textId="7DB9F006" w:rsidR="0021204D" w:rsidRPr="0021204D" w:rsidRDefault="0021204D" w:rsidP="00747F8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131.741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уговор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E39A508" w14:textId="7D23BB29" w:rsidR="0021204D" w:rsidRDefault="0021204D" w:rsidP="00747F8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≈ 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46,54%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вриједности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B6080">
        <w:rPr>
          <w:rFonts w:ascii="Times New Roman" w:eastAsia="Times New Roman" w:hAnsi="Times New Roman" w:cs="Times New Roman"/>
          <w:kern w:val="0"/>
          <w14:ligatures w14:val="none"/>
        </w:rPr>
        <w:t>Поглавља V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5518A6F" w14:textId="6E9480EE" w:rsidR="004915A2" w:rsidRPr="004915A2" w:rsidRDefault="005E4D1F" w:rsidP="004915A2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Вриједност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додијељених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уговора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путем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директног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споразума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4915A2" w:rsidRPr="004915A2">
        <w:rPr>
          <w:rFonts w:ascii="Times New Roman" w:hAnsi="Times New Roman" w:cs="Times New Roman"/>
        </w:rPr>
        <w:t xml:space="preserve"> 2023. </w:t>
      </w:r>
      <w:r>
        <w:rPr>
          <w:rFonts w:ascii="Times New Roman" w:hAnsi="Times New Roman" w:cs="Times New Roman"/>
        </w:rPr>
        <w:t>години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износи</w:t>
      </w:r>
      <w:r w:rsidR="004915A2" w:rsidRPr="004915A2">
        <w:rPr>
          <w:rFonts w:ascii="Times New Roman" w:hAnsi="Times New Roman" w:cs="Times New Roman"/>
        </w:rPr>
        <w:t xml:space="preserve"> </w:t>
      </w:r>
      <w:r w:rsidR="004915A2" w:rsidRPr="004915A2">
        <w:rPr>
          <w:rFonts w:ascii="Times New Roman" w:hAnsi="Times New Roman" w:cs="Times New Roman"/>
          <w:b/>
          <w:color w:val="000000"/>
        </w:rPr>
        <w:t xml:space="preserve">152.726.709,17 </w:t>
      </w:r>
      <w:r>
        <w:rPr>
          <w:rFonts w:ascii="Times New Roman" w:hAnsi="Times New Roman" w:cs="Times New Roman"/>
          <w:color w:val="000000"/>
        </w:rPr>
        <w:t>КМ</w:t>
      </w:r>
      <w:r w:rsidR="004915A2" w:rsidRPr="004915A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или</w:t>
      </w:r>
      <w:r w:rsidR="004915A2" w:rsidRPr="004915A2">
        <w:rPr>
          <w:rFonts w:ascii="Times New Roman" w:hAnsi="Times New Roman" w:cs="Times New Roman"/>
          <w:color w:val="000000"/>
        </w:rPr>
        <w:t xml:space="preserve"> </w:t>
      </w:r>
      <w:r w:rsidR="004915A2" w:rsidRPr="004915A2">
        <w:rPr>
          <w:rFonts w:ascii="Times New Roman" w:hAnsi="Times New Roman" w:cs="Times New Roman"/>
        </w:rPr>
        <w:t xml:space="preserve">46.54 </w:t>
      </w:r>
      <w:r w:rsidR="004915A2" w:rsidRPr="004915A2">
        <w:rPr>
          <w:rFonts w:ascii="Times New Roman" w:hAnsi="Times New Roman" w:cs="Times New Roman"/>
          <w:color w:val="000000"/>
        </w:rPr>
        <w:t xml:space="preserve">% </w:t>
      </w:r>
      <w:r>
        <w:rPr>
          <w:rFonts w:ascii="Times New Roman" w:hAnsi="Times New Roman" w:cs="Times New Roman"/>
          <w:color w:val="000000"/>
        </w:rPr>
        <w:t>од</w:t>
      </w:r>
      <w:r w:rsidR="004915A2" w:rsidRPr="004915A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свих</w:t>
      </w:r>
      <w:r w:rsidR="004915A2" w:rsidRPr="004915A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додијељених</w:t>
      </w:r>
      <w:r w:rsidR="004915A2" w:rsidRPr="004915A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уговора</w:t>
      </w:r>
      <w:r w:rsidR="004915A2" w:rsidRPr="004915A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="004915A2" w:rsidRPr="004915A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поступцима</w:t>
      </w:r>
      <w:r w:rsidR="004915A2" w:rsidRPr="004915A2">
        <w:rPr>
          <w:rFonts w:ascii="Times New Roman" w:hAnsi="Times New Roman" w:cs="Times New Roman"/>
          <w:color w:val="000000"/>
        </w:rPr>
        <w:t xml:space="preserve"> „</w:t>
      </w:r>
      <w:r w:rsidR="00BB6080">
        <w:rPr>
          <w:rFonts w:ascii="Times New Roman" w:hAnsi="Times New Roman" w:cs="Times New Roman"/>
          <w:color w:val="000000"/>
        </w:rPr>
        <w:t>Поглавља V</w:t>
      </w:r>
      <w:r w:rsidR="004915A2" w:rsidRPr="004915A2">
        <w:rPr>
          <w:rFonts w:ascii="Times New Roman" w:hAnsi="Times New Roman" w:cs="Times New Roman"/>
          <w:color w:val="000000" w:themeColor="text1"/>
        </w:rPr>
        <w:t>“,</w:t>
      </w:r>
      <w:r w:rsidR="004915A2" w:rsidRPr="004915A2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односно</w:t>
      </w:r>
      <w:r w:rsidR="004915A2" w:rsidRPr="004915A2">
        <w:rPr>
          <w:rFonts w:ascii="Times New Roman" w:hAnsi="Times New Roman" w:cs="Times New Roman"/>
        </w:rPr>
        <w:t xml:space="preserve"> 3.02% </w:t>
      </w:r>
      <w:r>
        <w:rPr>
          <w:rFonts w:ascii="Times New Roman" w:hAnsi="Times New Roman" w:cs="Times New Roman"/>
        </w:rPr>
        <w:t>од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свих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додијељених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уговора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4915A2" w:rsidRPr="004915A2">
        <w:rPr>
          <w:rFonts w:ascii="Times New Roman" w:hAnsi="Times New Roman" w:cs="Times New Roman"/>
        </w:rPr>
        <w:t xml:space="preserve"> 2023. </w:t>
      </w:r>
      <w:r>
        <w:rPr>
          <w:rFonts w:ascii="Times New Roman" w:hAnsi="Times New Roman" w:cs="Times New Roman"/>
        </w:rPr>
        <w:t>години</w:t>
      </w:r>
      <w:r w:rsidR="004915A2" w:rsidRPr="004915A2">
        <w:rPr>
          <w:rFonts w:ascii="Times New Roman" w:hAnsi="Times New Roman" w:cs="Times New Roman"/>
          <w:color w:val="FF0000"/>
        </w:rPr>
        <w:t>.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3160"/>
        <w:gridCol w:w="3850"/>
        <w:gridCol w:w="2340"/>
      </w:tblGrid>
      <w:tr w:rsidR="004915A2" w:rsidRPr="004A7CFB" w14:paraId="2677AD16" w14:textId="77777777" w:rsidTr="00794102">
        <w:trPr>
          <w:trHeight w:val="2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00"/>
            <w:vAlign w:val="bottom"/>
          </w:tcPr>
          <w:p w14:paraId="45E424CD" w14:textId="637F4907" w:rsidR="004915A2" w:rsidRPr="004915A2" w:rsidRDefault="005E4D1F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Директни</w:t>
            </w:r>
            <w:r w:rsidR="004915A2"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споразум</w:t>
            </w:r>
          </w:p>
        </w:tc>
        <w:tc>
          <w:tcPr>
            <w:tcW w:w="3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C649647" w14:textId="77777777" w:rsidR="004915A2" w:rsidRPr="004915A2" w:rsidRDefault="004915A2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14:paraId="19E5F86A" w14:textId="77777777" w:rsidR="004915A2" w:rsidRPr="004915A2" w:rsidRDefault="004915A2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5A2" w:rsidRPr="004A7CFB" w14:paraId="3CFFA501" w14:textId="77777777" w:rsidTr="00794102">
        <w:trPr>
          <w:trHeight w:val="255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7EFC5" w14:textId="61A6D5A9" w:rsidR="004915A2" w:rsidRPr="004915A2" w:rsidRDefault="005E4D1F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Робе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63D0B" w14:textId="77777777" w:rsidR="004915A2" w:rsidRPr="004915A2" w:rsidRDefault="004915A2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71.781.270,29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590BF17" w14:textId="77777777" w:rsidR="004915A2" w:rsidRPr="004915A2" w:rsidRDefault="004915A2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57.711</w:t>
            </w:r>
          </w:p>
        </w:tc>
      </w:tr>
      <w:tr w:rsidR="004915A2" w:rsidRPr="004A7CFB" w14:paraId="765D0A55" w14:textId="77777777" w:rsidTr="00794102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9F46D" w14:textId="0E0A6150" w:rsidR="004915A2" w:rsidRPr="004915A2" w:rsidRDefault="005E4D1F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Услуге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2C401" w14:textId="77777777" w:rsidR="004915A2" w:rsidRPr="004915A2" w:rsidRDefault="004915A2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71.654.646,43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B61C00" w14:textId="77777777" w:rsidR="004915A2" w:rsidRPr="004915A2" w:rsidRDefault="004915A2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71.761</w:t>
            </w:r>
          </w:p>
        </w:tc>
      </w:tr>
      <w:tr w:rsidR="004915A2" w:rsidRPr="004A7CFB" w14:paraId="683EE225" w14:textId="77777777" w:rsidTr="00794102">
        <w:trPr>
          <w:trHeight w:val="2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25304" w14:textId="653C6154" w:rsidR="004915A2" w:rsidRPr="004915A2" w:rsidRDefault="005E4D1F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Радови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7AF45" w14:textId="77777777" w:rsidR="004915A2" w:rsidRPr="004915A2" w:rsidRDefault="004915A2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9.290.792,45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ABDCB4" w14:textId="77777777" w:rsidR="004915A2" w:rsidRPr="004915A2" w:rsidRDefault="004915A2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2.269</w:t>
            </w:r>
          </w:p>
        </w:tc>
      </w:tr>
      <w:tr w:rsidR="004915A2" w:rsidRPr="00737BB6" w14:paraId="1B738506" w14:textId="77777777" w:rsidTr="00794102">
        <w:trPr>
          <w:trHeight w:val="3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F768FEA" w14:textId="2B1C62E5" w:rsidR="004915A2" w:rsidRPr="004915A2" w:rsidRDefault="005E4D1F" w:rsidP="0079410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Укупно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27BE21F" w14:textId="77777777" w:rsidR="004915A2" w:rsidRPr="004915A2" w:rsidRDefault="004915A2" w:rsidP="0079410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152.726.709,17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59E7822" w14:textId="77777777" w:rsidR="004915A2" w:rsidRPr="004915A2" w:rsidRDefault="004915A2" w:rsidP="0079410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131.741</w:t>
            </w:r>
          </w:p>
        </w:tc>
      </w:tr>
    </w:tbl>
    <w:p w14:paraId="6DFCE988" w14:textId="77777777" w:rsidR="004915A2" w:rsidRPr="0021204D" w:rsidRDefault="004915A2" w:rsidP="00491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7D1220" w14:textId="75257F63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Конкурентски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захтјев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D2D36E2" w14:textId="405992CD" w:rsidR="0021204D" w:rsidRPr="0021204D" w:rsidRDefault="0021204D" w:rsidP="00747F8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23.099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уговора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A9F4D1A" w14:textId="265FD92A" w:rsidR="0021204D" w:rsidRDefault="0021204D" w:rsidP="00747F8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≈ 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53,46%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вриједности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B6080">
        <w:rPr>
          <w:rFonts w:ascii="Times New Roman" w:eastAsia="Times New Roman" w:hAnsi="Times New Roman" w:cs="Times New Roman"/>
          <w:kern w:val="0"/>
          <w14:ligatures w14:val="none"/>
        </w:rPr>
        <w:t>Поглавља V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3DA3CA6" w14:textId="1167205F" w:rsidR="004915A2" w:rsidRPr="004915A2" w:rsidRDefault="005E4D1F" w:rsidP="004915A2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</w:rPr>
        <w:t>Вриједност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додијељених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уговора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конкурентском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захтјеву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доставу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понуда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4915A2" w:rsidRPr="004915A2">
        <w:rPr>
          <w:rFonts w:ascii="Times New Roman" w:hAnsi="Times New Roman" w:cs="Times New Roman"/>
        </w:rPr>
        <w:t xml:space="preserve"> 2023. </w:t>
      </w:r>
      <w:r>
        <w:rPr>
          <w:rFonts w:ascii="Times New Roman" w:hAnsi="Times New Roman" w:cs="Times New Roman"/>
        </w:rPr>
        <w:t>години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износи</w:t>
      </w:r>
      <w:r w:rsidR="004915A2" w:rsidRPr="004915A2">
        <w:rPr>
          <w:rFonts w:ascii="Times New Roman" w:hAnsi="Times New Roman" w:cs="Times New Roman"/>
        </w:rPr>
        <w:t xml:space="preserve"> </w:t>
      </w:r>
      <w:r w:rsidR="004915A2" w:rsidRPr="004915A2">
        <w:rPr>
          <w:rFonts w:ascii="Times New Roman" w:hAnsi="Times New Roman" w:cs="Times New Roman"/>
          <w:b/>
          <w:bCs/>
          <w:color w:val="000000"/>
        </w:rPr>
        <w:t xml:space="preserve">175.412.728,03 </w:t>
      </w:r>
      <w:r>
        <w:rPr>
          <w:rFonts w:ascii="Times New Roman" w:hAnsi="Times New Roman" w:cs="Times New Roman"/>
          <w:color w:val="000000"/>
        </w:rPr>
        <w:t>КМ</w:t>
      </w:r>
      <w:r w:rsidR="004915A2" w:rsidRPr="004915A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или</w:t>
      </w:r>
      <w:r w:rsidR="004915A2" w:rsidRPr="004915A2">
        <w:rPr>
          <w:rFonts w:ascii="Times New Roman" w:hAnsi="Times New Roman" w:cs="Times New Roman"/>
          <w:color w:val="000000"/>
        </w:rPr>
        <w:t xml:space="preserve"> </w:t>
      </w:r>
      <w:r w:rsidR="004915A2" w:rsidRPr="004915A2">
        <w:rPr>
          <w:rFonts w:ascii="Times New Roman" w:hAnsi="Times New Roman" w:cs="Times New Roman"/>
          <w:b/>
          <w:bCs/>
          <w:color w:val="000000"/>
        </w:rPr>
        <w:t xml:space="preserve">53.46 </w:t>
      </w:r>
      <w:r w:rsidR="004915A2" w:rsidRPr="004915A2">
        <w:rPr>
          <w:rFonts w:ascii="Times New Roman" w:hAnsi="Times New Roman" w:cs="Times New Roman"/>
          <w:color w:val="000000"/>
        </w:rPr>
        <w:t xml:space="preserve">% </w:t>
      </w:r>
      <w:r>
        <w:rPr>
          <w:rFonts w:ascii="Times New Roman" w:hAnsi="Times New Roman" w:cs="Times New Roman"/>
          <w:color w:val="000000"/>
        </w:rPr>
        <w:t>од</w:t>
      </w:r>
      <w:r w:rsidR="004915A2" w:rsidRPr="004915A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свих</w:t>
      </w:r>
      <w:r w:rsidR="004915A2" w:rsidRPr="004915A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додијељених</w:t>
      </w:r>
      <w:r w:rsidR="004915A2" w:rsidRPr="004915A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уговора</w:t>
      </w:r>
      <w:r w:rsidR="004915A2" w:rsidRPr="004915A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="004915A2" w:rsidRPr="004915A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поступцима</w:t>
      </w:r>
      <w:r w:rsidR="004915A2" w:rsidRPr="004915A2">
        <w:rPr>
          <w:rFonts w:ascii="Times New Roman" w:hAnsi="Times New Roman" w:cs="Times New Roman"/>
          <w:color w:val="000000"/>
        </w:rPr>
        <w:t xml:space="preserve"> „</w:t>
      </w:r>
      <w:r w:rsidR="00BB6080">
        <w:rPr>
          <w:rFonts w:ascii="Times New Roman" w:hAnsi="Times New Roman" w:cs="Times New Roman"/>
          <w:color w:val="000000"/>
        </w:rPr>
        <w:t>Поглавља V</w:t>
      </w:r>
      <w:r w:rsidR="004915A2" w:rsidRPr="004915A2">
        <w:rPr>
          <w:rFonts w:ascii="Times New Roman" w:hAnsi="Times New Roman" w:cs="Times New Roman"/>
          <w:color w:val="000000"/>
        </w:rPr>
        <w:t>“,</w:t>
      </w:r>
      <w:r w:rsidR="004915A2" w:rsidRPr="004915A2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</w:rPr>
        <w:t>односно</w:t>
      </w:r>
      <w:r w:rsidR="004915A2" w:rsidRPr="004915A2">
        <w:rPr>
          <w:rFonts w:ascii="Times New Roman" w:hAnsi="Times New Roman" w:cs="Times New Roman"/>
        </w:rPr>
        <w:t xml:space="preserve"> 3.47 % </w:t>
      </w:r>
      <w:r>
        <w:rPr>
          <w:rFonts w:ascii="Times New Roman" w:hAnsi="Times New Roman" w:cs="Times New Roman"/>
        </w:rPr>
        <w:t>од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свих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додијељених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уговора</w:t>
      </w:r>
      <w:r w:rsidR="004915A2" w:rsidRPr="004915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4915A2" w:rsidRPr="004915A2">
        <w:rPr>
          <w:rFonts w:ascii="Times New Roman" w:hAnsi="Times New Roman" w:cs="Times New Roman"/>
        </w:rPr>
        <w:t xml:space="preserve"> 2023. </w:t>
      </w:r>
      <w:r>
        <w:rPr>
          <w:rFonts w:ascii="Times New Roman" w:hAnsi="Times New Roman" w:cs="Times New Roman"/>
        </w:rPr>
        <w:t>години</w:t>
      </w:r>
      <w:r w:rsidR="004915A2" w:rsidRPr="004915A2">
        <w:rPr>
          <w:rFonts w:ascii="Times New Roman" w:hAnsi="Times New Roman" w:cs="Times New Roman"/>
        </w:rPr>
        <w:t>.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3160"/>
        <w:gridCol w:w="3620"/>
        <w:gridCol w:w="2570"/>
      </w:tblGrid>
      <w:tr w:rsidR="004915A2" w:rsidRPr="00C5296C" w14:paraId="6264B7BE" w14:textId="77777777" w:rsidTr="00794102">
        <w:trPr>
          <w:trHeight w:val="51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00"/>
            <w:vAlign w:val="bottom"/>
            <w:hideMark/>
          </w:tcPr>
          <w:p w14:paraId="070AB629" w14:textId="31640AA6" w:rsidR="004915A2" w:rsidRPr="004915A2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Конкурентски</w:t>
            </w:r>
            <w:r w:rsidR="004915A2"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захтјев</w:t>
            </w:r>
            <w:r w:rsidR="004915A2"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4915A2"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доставу</w:t>
            </w:r>
            <w:r w:rsidR="004915A2"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понуда</w:t>
            </w:r>
          </w:p>
        </w:tc>
        <w:tc>
          <w:tcPr>
            <w:tcW w:w="3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0FAF41F" w14:textId="61ABB05E" w:rsidR="004915A2" w:rsidRPr="004915A2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Вриједност</w:t>
            </w:r>
            <w:r w:rsidR="004915A2"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уговора</w:t>
            </w:r>
          </w:p>
        </w:tc>
        <w:tc>
          <w:tcPr>
            <w:tcW w:w="25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7674300F" w14:textId="239C47BF" w:rsidR="004915A2" w:rsidRPr="004915A2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Број</w:t>
            </w:r>
          </w:p>
        </w:tc>
      </w:tr>
      <w:tr w:rsidR="004915A2" w:rsidRPr="00C5296C" w14:paraId="36BB1318" w14:textId="77777777" w:rsidTr="00794102">
        <w:trPr>
          <w:trHeight w:val="255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9DD72" w14:textId="7B52391B" w:rsidR="004915A2" w:rsidRPr="004915A2" w:rsidRDefault="005E4D1F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Робе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14E0F" w14:textId="77777777" w:rsidR="004915A2" w:rsidRPr="004915A2" w:rsidRDefault="004915A2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96.733.809,17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87C61A6" w14:textId="77777777" w:rsidR="004915A2" w:rsidRPr="004915A2" w:rsidRDefault="004915A2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13.257</w:t>
            </w:r>
          </w:p>
        </w:tc>
      </w:tr>
      <w:tr w:rsidR="004915A2" w:rsidRPr="00C5296C" w14:paraId="1FE1C38B" w14:textId="77777777" w:rsidTr="00794102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847E0" w14:textId="37745914" w:rsidR="004915A2" w:rsidRPr="004915A2" w:rsidRDefault="005E4D1F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Услуге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A3325" w14:textId="77777777" w:rsidR="004915A2" w:rsidRPr="004915A2" w:rsidRDefault="004915A2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45.479.820,35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98D2F5" w14:textId="77777777" w:rsidR="004915A2" w:rsidRPr="004915A2" w:rsidRDefault="004915A2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8.514</w:t>
            </w:r>
          </w:p>
        </w:tc>
      </w:tr>
      <w:tr w:rsidR="004915A2" w:rsidRPr="00C5296C" w14:paraId="005F3D4A" w14:textId="77777777" w:rsidTr="00794102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76A5D" w14:textId="06FDBE04" w:rsidR="004915A2" w:rsidRPr="004915A2" w:rsidRDefault="005E4D1F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Радови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83479" w14:textId="77777777" w:rsidR="004915A2" w:rsidRPr="004915A2" w:rsidRDefault="004915A2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33.199.098,51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6E1D2C2" w14:textId="77777777" w:rsidR="004915A2" w:rsidRPr="004915A2" w:rsidRDefault="004915A2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1.328</w:t>
            </w:r>
          </w:p>
        </w:tc>
      </w:tr>
      <w:tr w:rsidR="004915A2" w:rsidRPr="00C5296C" w14:paraId="32206250" w14:textId="77777777" w:rsidTr="00794102">
        <w:trPr>
          <w:trHeight w:val="2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BEE712" w14:textId="20261E59" w:rsidR="004915A2" w:rsidRPr="004915A2" w:rsidRDefault="005E4D1F" w:rsidP="0079410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Укупно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6B3774F" w14:textId="77777777" w:rsidR="004915A2" w:rsidRPr="004915A2" w:rsidRDefault="004915A2" w:rsidP="0079410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175.412.728,03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F4C46C" w14:textId="77777777" w:rsidR="004915A2" w:rsidRPr="004915A2" w:rsidRDefault="004915A2" w:rsidP="0079410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23.099</w:t>
            </w:r>
          </w:p>
        </w:tc>
      </w:tr>
    </w:tbl>
    <w:p w14:paraId="7CD53154" w14:textId="447A8172" w:rsidR="00404351" w:rsidRPr="00FE0DD3" w:rsidRDefault="005E4D1F" w:rsidP="00404351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-BR"/>
        </w:rPr>
        <w:t>У</w:t>
      </w:r>
      <w:r w:rsidR="00404351" w:rsidRPr="00FE0DD3">
        <w:rPr>
          <w:rFonts w:ascii="Times New Roman" w:hAnsi="Times New Roman" w:cs="Times New Roman"/>
        </w:rPr>
        <w:t xml:space="preserve"> 2023. </w:t>
      </w:r>
      <w:r>
        <w:rPr>
          <w:rFonts w:ascii="Times New Roman" w:hAnsi="Times New Roman" w:cs="Times New Roman"/>
          <w:lang w:val="pt-BR"/>
        </w:rPr>
        <w:t>години</w:t>
      </w:r>
      <w:r w:rsidR="00404351" w:rsidRPr="00FE0DD3">
        <w:rPr>
          <w:rFonts w:ascii="Times New Roman" w:hAnsi="Times New Roman" w:cs="Times New Roman"/>
        </w:rPr>
        <w:t xml:space="preserve"> </w:t>
      </w:r>
      <w:r w:rsidR="00FE64DA">
        <w:rPr>
          <w:rFonts w:ascii="Times New Roman" w:hAnsi="Times New Roman" w:cs="Times New Roman"/>
          <w:lang w:val="pt-BR"/>
        </w:rPr>
        <w:t>Поглавље</w:t>
      </w:r>
      <w:r w:rsidR="00FE64DA" w:rsidRPr="00FE0DD3">
        <w:rPr>
          <w:rFonts w:ascii="Times New Roman" w:hAnsi="Times New Roman" w:cs="Times New Roman"/>
        </w:rPr>
        <w:t xml:space="preserve"> V</w:t>
      </w:r>
      <w:r w:rsidR="00404351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404351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даље</w:t>
      </w:r>
      <w:r w:rsidR="00404351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производи</w:t>
      </w:r>
      <w:r w:rsidR="00404351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велики</w:t>
      </w:r>
      <w:r w:rsidR="00404351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број</w:t>
      </w:r>
      <w:r w:rsidR="00404351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уговора</w:t>
      </w:r>
      <w:r w:rsidR="00404351" w:rsidRPr="00FE0D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pt-BR"/>
        </w:rPr>
        <w:t>али</w:t>
      </w:r>
      <w:r w:rsidR="00404351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се</w:t>
      </w:r>
      <w:r w:rsidR="00404351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конкуренција</w:t>
      </w:r>
      <w:r w:rsidR="00404351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не</w:t>
      </w:r>
      <w:r w:rsidR="00404351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повећава</w:t>
      </w:r>
      <w:r w:rsidR="00404351" w:rsidRPr="00FE0DD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pt-BR"/>
        </w:rPr>
        <w:t>Просјек</w:t>
      </w:r>
      <w:r w:rsidR="00404351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од</w:t>
      </w:r>
      <w:r w:rsidR="00404351" w:rsidRPr="00FE0DD3">
        <w:rPr>
          <w:rFonts w:ascii="Times New Roman" w:hAnsi="Times New Roman" w:cs="Times New Roman"/>
        </w:rPr>
        <w:t xml:space="preserve"> 1–2 </w:t>
      </w:r>
      <w:r>
        <w:rPr>
          <w:rFonts w:ascii="Times New Roman" w:hAnsi="Times New Roman" w:cs="Times New Roman"/>
          <w:lang w:val="pt-BR"/>
        </w:rPr>
        <w:t>понуде</w:t>
      </w:r>
      <w:r w:rsidR="00404351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јасно</w:t>
      </w:r>
      <w:r w:rsidR="00404351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показује</w:t>
      </w:r>
      <w:r w:rsidR="00404351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да</w:t>
      </w:r>
      <w:r w:rsidR="00404351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интензитет</w:t>
      </w:r>
      <w:r w:rsidR="00404351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поступака</w:t>
      </w:r>
      <w:r w:rsidR="00404351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не</w:t>
      </w:r>
      <w:r w:rsidR="00404351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прати</w:t>
      </w:r>
      <w:r w:rsidR="00404351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интензитет</w:t>
      </w:r>
      <w:r w:rsidR="00404351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тржишног</w:t>
      </w:r>
      <w:r w:rsidR="00404351" w:rsidRPr="00FE0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надметања</w:t>
      </w:r>
      <w:r w:rsidR="00404351" w:rsidRPr="00FE0DD3">
        <w:rPr>
          <w:rFonts w:ascii="Times New Roman" w:hAnsi="Times New Roman" w:cs="Times New Roman"/>
        </w:rPr>
        <w:t>.</w:t>
      </w:r>
    </w:p>
    <w:p w14:paraId="7EBC24FF" w14:textId="1ECB9E29" w:rsidR="0021204D" w:rsidRPr="00404351" w:rsidRDefault="005E4D1F" w:rsidP="0040435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ц</w:t>
      </w:r>
      <w:r w:rsidR="0021204D" w:rsidRPr="0040435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) </w:t>
      </w:r>
      <w:r w:rsidR="00FE64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Анекс II</w:t>
      </w:r>
      <w:r w:rsidR="0021204D" w:rsidRPr="0040435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(2023)</w:t>
      </w:r>
    </w:p>
    <w:p w14:paraId="12E43962" w14:textId="1FC11B4B" w:rsidR="0021204D" w:rsidRPr="0021204D" w:rsidRDefault="005E4D1F" w:rsidP="00747F8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вриједност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716.474.015,77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КМ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(14,16%)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87A2A0F" w14:textId="1369AB06" w:rsidR="0021204D" w:rsidRPr="0021204D" w:rsidRDefault="005E4D1F" w:rsidP="00747F8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број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уговора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23.514 (9,64%)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FBEB96" w14:textId="42B997BB" w:rsidR="0021204D" w:rsidRDefault="005E4D1F" w:rsidP="002454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Cyrl-BA"/>
          <w14:ligatures w14:val="none"/>
        </w:rPr>
      </w:pPr>
      <w:r>
        <w:rPr>
          <w:rFonts w:ascii="Times New Roman" w:hAnsi="Times New Roman" w:cs="Times New Roman"/>
        </w:rPr>
        <w:t>Здравство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социјалне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услуге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24548D" w:rsidRPr="0024548D">
        <w:rPr>
          <w:rFonts w:ascii="Times New Roman" w:hAnsi="Times New Roman" w:cs="Times New Roman"/>
        </w:rPr>
        <w:t xml:space="preserve"> 2023. </w:t>
      </w:r>
      <w:r>
        <w:rPr>
          <w:rFonts w:ascii="Times New Roman" w:hAnsi="Times New Roman" w:cs="Times New Roman"/>
        </w:rPr>
        <w:t>години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биљеже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нагло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повећање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укупне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вриједности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набавки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односу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</w:t>
      </w:r>
      <w:r w:rsidR="0024548D" w:rsidRPr="0024548D">
        <w:rPr>
          <w:rFonts w:ascii="Times New Roman" w:hAnsi="Times New Roman" w:cs="Times New Roman"/>
        </w:rPr>
        <w:t xml:space="preserve"> 2022, </w:t>
      </w:r>
      <w:r>
        <w:rPr>
          <w:rFonts w:ascii="Times New Roman" w:hAnsi="Times New Roman" w:cs="Times New Roman"/>
        </w:rPr>
        <w:t>али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ниво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конкуренције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није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побољшао</w:t>
      </w:r>
      <w:r w:rsidR="0024548D" w:rsidRPr="0024548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Број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понуда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остаје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низак</w:t>
      </w:r>
      <w:r w:rsidR="0024548D" w:rsidRPr="0024548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што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указује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раст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вриједности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није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праћен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растом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тржишног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интереса</w:t>
      </w:r>
      <w:r w:rsidR="0024548D" w:rsidRPr="0024548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Тиме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повећава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ризик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додатног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јачања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тржишне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позиције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неколико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доминантних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добављача</w:t>
      </w:r>
      <w:r w:rsidR="0024548D" w:rsidRPr="0024548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што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може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довести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даљње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концентрације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тржишта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слабијег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конкурентског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притиска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наредним</w:t>
      </w:r>
      <w:r w:rsidR="0024548D" w:rsidRPr="00245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годинама</w:t>
      </w:r>
      <w:r w:rsidR="0024548D" w:rsidRPr="0024548D">
        <w:rPr>
          <w:rFonts w:ascii="Times New Roman" w:hAnsi="Times New Roman" w:cs="Times New Roman"/>
        </w:rPr>
        <w:t>.</w:t>
      </w:r>
    </w:p>
    <w:p w14:paraId="1DC87327" w14:textId="77777777" w:rsidR="00E80212" w:rsidRPr="00E80212" w:rsidRDefault="00E80212" w:rsidP="002454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Cyrl-BA"/>
          <w14:ligatures w14:val="none"/>
        </w:rPr>
      </w:pPr>
    </w:p>
    <w:p w14:paraId="4189A911" w14:textId="595C72B8" w:rsidR="0021204D" w:rsidRPr="00FE0DD3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s-Cyrl-BA"/>
          <w14:ligatures w14:val="none"/>
        </w:rPr>
      </w:pP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s-Cyrl-BA"/>
          <w14:ligatures w14:val="none"/>
        </w:rPr>
        <w:lastRenderedPageBreak/>
        <w:t xml:space="preserve">3.2. </w:t>
      </w:r>
      <w:r w:rsidR="005E4D1F"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s-Cyrl-BA"/>
          <w14:ligatures w14:val="none"/>
        </w:rPr>
        <w:t>Аналитичко</w:t>
      </w: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s-Cyrl-BA"/>
          <w14:ligatures w14:val="none"/>
        </w:rPr>
        <w:t xml:space="preserve"> </w:t>
      </w:r>
      <w:r w:rsidR="005E4D1F"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s-Cyrl-BA"/>
          <w14:ligatures w14:val="none"/>
        </w:rPr>
        <w:t>објашњење</w:t>
      </w: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s-Cyrl-BA"/>
          <w14:ligatures w14:val="none"/>
        </w:rPr>
        <w:t xml:space="preserve"> </w:t>
      </w:r>
      <w:r w:rsidR="005E4D1F"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s-Cyrl-BA"/>
          <w14:ligatures w14:val="none"/>
        </w:rPr>
        <w:t>конкуренције</w:t>
      </w: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s-Cyrl-BA"/>
          <w14:ligatures w14:val="none"/>
        </w:rPr>
        <w:t xml:space="preserve"> (2023)</w:t>
      </w:r>
    </w:p>
    <w:p w14:paraId="71A96A30" w14:textId="647EE73C" w:rsidR="00C75190" w:rsidRPr="00FE0DD3" w:rsidRDefault="005E4D1F" w:rsidP="00C751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bs-Cyrl-BA"/>
          <w14:ligatures w14:val="none"/>
        </w:rPr>
      </w:pP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Пад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просјечног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броја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понуда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са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2,14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на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1,62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показује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да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је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систем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јавних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набавки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ушао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у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зону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озбиљне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структурне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кризе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конкуренције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.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У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великом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дијелу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поступака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не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постоји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реалан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избор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између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алтернатива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,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јер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се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јавља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само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један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понуђач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или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двије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формалне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понуде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које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не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генеришу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стварни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тржишни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притисак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.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Оваква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ситуација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указује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на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дубоке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поремећаје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у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тржишној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динамици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и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смањену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способност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система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да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осигура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ефикасну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провјеру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цијена</w:t>
      </w:r>
      <w:r w:rsidR="00C75190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.</w:t>
      </w:r>
    </w:p>
    <w:p w14:paraId="0B5BB418" w14:textId="7AEF4EE7" w:rsidR="00C75190" w:rsidRPr="00C75190" w:rsidRDefault="005E4D1F" w:rsidP="00C751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Импликације</w:t>
      </w:r>
      <w:r w:rsidR="00C75190" w:rsidRPr="00C751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5818AB8C" w14:textId="5D7890EE" w:rsidR="00C75190" w:rsidRPr="00C75190" w:rsidRDefault="005E4D1F" w:rsidP="00747F81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јачање</w:t>
      </w:r>
      <w:r w:rsidR="00C75190"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позиције</w:t>
      </w:r>
      <w:r w:rsidR="00C75190"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постојећих</w:t>
      </w:r>
      <w:r w:rsidR="00C75190"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добављача</w:t>
      </w:r>
      <w:r w:rsidR="00C75190"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C75190"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даље</w:t>
      </w:r>
      <w:r w:rsidR="00C75190"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учвршћивање</w:t>
      </w:r>
      <w:r w:rsidR="00C75190"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њихових</w:t>
      </w:r>
      <w:r w:rsidR="00C75190"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тржишних</w:t>
      </w:r>
      <w:r w:rsidR="00C75190"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удјела</w:t>
      </w:r>
      <w:r w:rsidR="00C75190" w:rsidRPr="00C75190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457A07DB" w14:textId="43D8D445" w:rsidR="00C75190" w:rsidRPr="00FE0DD3" w:rsidRDefault="005E4D1F" w:rsidP="00747F81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повећан</w:t>
      </w:r>
      <w:r w:rsidR="00C75190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простор</w:t>
      </w:r>
      <w:r w:rsidR="00C75190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C75190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договарање</w:t>
      </w:r>
      <w:r w:rsidR="00C75190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цијена</w:t>
      </w:r>
      <w:r w:rsidR="00C75190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C75190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неформално</w:t>
      </w:r>
      <w:r w:rsidR="00C75190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координисање</w:t>
      </w:r>
      <w:r w:rsidR="00C75190" w:rsidRPr="00FE0DD3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758C28E8" w14:textId="07BC0375" w:rsidR="00C75190" w:rsidRPr="00FE0DD3" w:rsidRDefault="005E4D1F" w:rsidP="00747F81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отежан</w:t>
      </w:r>
      <w:r w:rsidR="00C75190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улазак</w:t>
      </w:r>
      <w:r w:rsidR="00C75190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нових</w:t>
      </w:r>
      <w:r w:rsidR="00C75190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субјеката</w:t>
      </w:r>
      <w:r w:rsidR="00C75190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услијед</w:t>
      </w:r>
      <w:r w:rsidR="00C75190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затворености</w:t>
      </w:r>
      <w:r w:rsidR="00C75190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тржишта</w:t>
      </w:r>
      <w:r w:rsidR="00C75190" w:rsidRPr="00FE0DD3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1D0A5002" w14:textId="79BC9DF1" w:rsidR="00C75190" w:rsidRPr="00FE0DD3" w:rsidRDefault="005E4D1F" w:rsidP="00747F81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високи</w:t>
      </w:r>
      <w:r w:rsidR="00C75190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ризици</w:t>
      </w:r>
      <w:r w:rsidR="00C75190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</w:t>
      </w:r>
      <w:r w:rsidR="00C75190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интегритет</w:t>
      </w:r>
      <w:r w:rsidR="00C75190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система</w:t>
      </w:r>
      <w:r w:rsidR="00C75190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укључујући</w:t>
      </w:r>
      <w:r w:rsidR="00C75190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смањење</w:t>
      </w:r>
      <w:r w:rsidR="00C75190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транспарентности</w:t>
      </w:r>
      <w:r w:rsidR="00C75190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већи</w:t>
      </w:r>
      <w:r w:rsidR="00C75190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притисак</w:t>
      </w:r>
      <w:r w:rsidR="00C75190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C75190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цијене</w:t>
      </w:r>
      <w:r w:rsidR="00C75190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C75190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смањену</w:t>
      </w:r>
      <w:r w:rsidR="00C75190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отпорност</w:t>
      </w:r>
      <w:r w:rsidR="00C75190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C75190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нерегуларности</w:t>
      </w:r>
      <w:r w:rsidR="00C75190" w:rsidRPr="00FE0D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ECA4AA7" w14:textId="77604164" w:rsidR="0021204D" w:rsidRPr="0021204D" w:rsidRDefault="0021204D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9ECFEB" w14:textId="48EEEC22" w:rsidR="0021204D" w:rsidRPr="00FE0DD3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3.3.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Поступци</w:t>
      </w: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са</w:t>
      </w: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једном</w:t>
      </w: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понудом</w:t>
      </w: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(2023)</w:t>
      </w:r>
    </w:p>
    <w:p w14:paraId="249B4FE7" w14:textId="54AEF29D" w:rsidR="0021204D" w:rsidRPr="00FE0DD3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Процјењује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2023.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удио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сингле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бид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555091C" w14:textId="11048C8D" w:rsidR="0021204D" w:rsidRPr="00FE0DD3" w:rsidRDefault="005E4D1F" w:rsidP="00747F8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ближе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горњој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граници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40–45%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свих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поступака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C01332C" w14:textId="4D02F921" w:rsidR="002F309B" w:rsidRPr="00FE0DD3" w:rsidRDefault="005E4D1F" w:rsidP="002F30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Раст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2023.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години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најизраженији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радовима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посебно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инфраструктурним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пројектима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већих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затим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ПБО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другим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преговарачким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процедурама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као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E64DA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Анексу</w:t>
      </w:r>
      <w:r w:rsidR="00FE64DA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II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који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обухвата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здравствене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социјалне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услуге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Међутим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повећање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обима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није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праћено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растом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броја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нити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ширењем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базе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активних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понуђача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Управо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супротно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структура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тржишног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одзива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показује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сингле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бид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поступци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овим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секторима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постају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правило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изузетак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Тиме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сигнализира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прелазак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стање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хроничне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системске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неконкурентности</w:t>
      </w:r>
      <w:r w:rsidR="002F309B" w:rsidRPr="00FE0D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514E557" w14:textId="267E164B" w:rsidR="002F309B" w:rsidRPr="002F309B" w:rsidRDefault="005E4D1F" w:rsidP="002F30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Импликације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:</w:t>
      </w:r>
    </w:p>
    <w:p w14:paraId="3DAF29F3" w14:textId="21BAD5EA" w:rsidR="002F309B" w:rsidRPr="002F309B" w:rsidRDefault="005E4D1F" w:rsidP="00747F8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Продубљивање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тржишне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концентрације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неколико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доминантних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добављача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додатно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учвршћује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позиције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кључним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вриједносно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високим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сегментима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03E92620" w14:textId="778DE0E7" w:rsidR="002F309B" w:rsidRPr="002F309B" w:rsidRDefault="005E4D1F" w:rsidP="00747F8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Смањена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способност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система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да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провјери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тржишну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цијену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уз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само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једног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одсустаје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реални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притисак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прате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трендове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2683ABF" w14:textId="46272495" w:rsidR="002F309B" w:rsidRPr="002F309B" w:rsidRDefault="005E4D1F" w:rsidP="00747F8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Повећани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фискални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оперативни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ризици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јавни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органи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постају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зависни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ограниченог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субјеката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чиме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расте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рањивост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поремећаје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кашњења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преговарачку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моћ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добављача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13A26FCE" w14:textId="0632F60E" w:rsidR="002F309B" w:rsidRPr="002F309B" w:rsidRDefault="005E4D1F" w:rsidP="00747F8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lastRenderedPageBreak/>
        <w:t>Слабљење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улазних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тачака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за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нове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понуђаче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МСП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затвара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улазне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баријере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секторима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високих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постају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структурне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привремене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59A7F113" w14:textId="45295BF0" w:rsidR="002F309B" w:rsidRPr="002F309B" w:rsidRDefault="005E4D1F" w:rsidP="00747F8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Ерозија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интегритета</w:t>
      </w:r>
      <w:r w:rsidR="002F309B"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система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доминација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без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повећава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ризик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нетранспарентних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одлука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неформалних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договора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неадекватне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контроле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BE80B1B" w14:textId="35FF4979" w:rsidR="00755613" w:rsidRPr="005F1599" w:rsidRDefault="005E4D1F" w:rsidP="005F1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s-Cyrl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Овакви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трендови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указују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динамика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кључним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секторима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креће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према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стању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дугорочне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неконкурентности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чему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стандардни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инструменти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аукције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отворени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поступци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више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нису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довољни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преокрену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тренд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без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циљаних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интервенција</w:t>
      </w:r>
      <w:r w:rsidR="002F309B"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570685C0" w14:textId="73A20410" w:rsidR="0021204D" w:rsidRPr="00FE0DD3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s-Cyrl-BA"/>
          <w14:ligatures w14:val="none"/>
        </w:rPr>
      </w:pP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s-Cyrl-BA"/>
          <w14:ligatures w14:val="none"/>
        </w:rPr>
        <w:t xml:space="preserve">3.4. </w:t>
      </w:r>
      <w:r w:rsidR="005E4D1F"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s-Cyrl-BA"/>
          <w14:ligatures w14:val="none"/>
        </w:rPr>
        <w:t>Територијалне</w:t>
      </w: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s-Cyrl-BA"/>
          <w14:ligatures w14:val="none"/>
        </w:rPr>
        <w:t xml:space="preserve"> </w:t>
      </w:r>
      <w:r w:rsidR="005E4D1F"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s-Cyrl-BA"/>
          <w14:ligatures w14:val="none"/>
        </w:rPr>
        <w:t>и</w:t>
      </w: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s-Cyrl-BA"/>
          <w14:ligatures w14:val="none"/>
        </w:rPr>
        <w:t xml:space="preserve"> </w:t>
      </w:r>
      <w:r w:rsidR="005E4D1F"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s-Cyrl-BA"/>
          <w14:ligatures w14:val="none"/>
        </w:rPr>
        <w:t>секторске</w:t>
      </w: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s-Cyrl-BA"/>
          <w14:ligatures w14:val="none"/>
        </w:rPr>
        <w:t xml:space="preserve"> </w:t>
      </w:r>
      <w:r w:rsidR="005E4D1F"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s-Cyrl-BA"/>
          <w14:ligatures w14:val="none"/>
        </w:rPr>
        <w:t>разлике</w:t>
      </w: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s-Cyrl-BA"/>
          <w14:ligatures w14:val="none"/>
        </w:rPr>
        <w:t xml:space="preserve"> (2023)</w:t>
      </w:r>
    </w:p>
    <w:p w14:paraId="30460D5D" w14:textId="04CF83C8" w:rsidR="0021204D" w:rsidRPr="00FE0DD3" w:rsidRDefault="005E4D1F" w:rsidP="00212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s-Cyrl-BA"/>
          <w14:ligatures w14:val="none"/>
        </w:rPr>
      </w:pPr>
      <w:r w:rsidRPr="00FE0D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s-Cyrl-BA"/>
          <w14:ligatures w14:val="none"/>
        </w:rPr>
        <w:t>а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s-Cyrl-BA"/>
          <w14:ligatures w14:val="none"/>
        </w:rPr>
        <w:t xml:space="preserve">) </w:t>
      </w:r>
      <w:r w:rsidRPr="00FE0D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s-Cyrl-BA"/>
          <w14:ligatures w14:val="none"/>
        </w:rPr>
        <w:t>ПБО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s-Cyrl-BA"/>
          <w14:ligatures w14:val="none"/>
        </w:rPr>
        <w:t>по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s-Cyrl-BA"/>
          <w14:ligatures w14:val="none"/>
        </w:rPr>
        <w:t>ентитетима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bs-Cyrl-BA"/>
          <w14:ligatures w14:val="none"/>
        </w:rPr>
        <w:t xml:space="preserve"> (2023)</w:t>
      </w:r>
    </w:p>
    <w:p w14:paraId="0A7B70DF" w14:textId="75B98DEC" w:rsidR="0021204D" w:rsidRPr="00FE0DD3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s-Cyrl-BA"/>
          <w14:ligatures w14:val="none"/>
        </w:rPr>
      </w:pP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Приближни</w:t>
      </w:r>
      <w:r w:rsidR="0021204D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удјели</w:t>
      </w:r>
      <w:r w:rsidR="0021204D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у</w:t>
      </w:r>
      <w:r w:rsidR="0021204D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вриједности</w:t>
      </w:r>
      <w:r w:rsidR="0021204D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 xml:space="preserve"> </w:t>
      </w:r>
      <w:r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ПБО</w:t>
      </w:r>
      <w:r w:rsidR="0021204D" w:rsidRPr="00FE0DD3">
        <w:rPr>
          <w:rFonts w:ascii="Times New Roman" w:eastAsia="Times New Roman" w:hAnsi="Times New Roman" w:cs="Times New Roman"/>
          <w:kern w:val="0"/>
          <w:lang w:val="bs-Cyrl-BA"/>
          <w14:ligatures w14:val="none"/>
        </w:rPr>
        <w:t>:</w:t>
      </w:r>
    </w:p>
    <w:p w14:paraId="3CA5C473" w14:textId="4F70F867" w:rsidR="0021204D" w:rsidRPr="0021204D" w:rsidRDefault="005E4D1F" w:rsidP="00747F8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ниво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БиХ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≈ 2,1%,</w:t>
      </w:r>
    </w:p>
    <w:p w14:paraId="3E6E3469" w14:textId="3963F6C4" w:rsidR="0021204D" w:rsidRPr="0021204D" w:rsidRDefault="005E4D1F" w:rsidP="00747F8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ФБиХ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≈ 50,7%,</w:t>
      </w:r>
    </w:p>
    <w:p w14:paraId="24DD88AC" w14:textId="6CBA905B" w:rsidR="0021204D" w:rsidRPr="0021204D" w:rsidRDefault="005E4D1F" w:rsidP="00747F8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РС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≈ 47,0%,</w:t>
      </w:r>
    </w:p>
    <w:p w14:paraId="61D0F0DE" w14:textId="0310A557" w:rsidR="0021204D" w:rsidRPr="0021204D" w:rsidRDefault="005E4D1F" w:rsidP="00747F8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БД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≈ 0,2%.</w:t>
      </w:r>
    </w:p>
    <w:p w14:paraId="27B5724E" w14:textId="03E6D3BD" w:rsidR="0021204D" w:rsidRDefault="005E4D1F" w:rsidP="00E87E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РС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2023. </w:t>
      </w:r>
      <w:r>
        <w:rPr>
          <w:rFonts w:ascii="Times New Roman" w:eastAsia="Times New Roman" w:hAnsi="Times New Roman" w:cs="Times New Roman"/>
          <w:kern w:val="0"/>
          <w14:ligatures w14:val="none"/>
        </w:rPr>
        <w:t>готово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14:ligatures w14:val="none"/>
        </w:rPr>
        <w:t>дијели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14:ligatures w14:val="none"/>
        </w:rPr>
        <w:t>тржиште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ПБО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ФБиХ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14:ligatures w14:val="none"/>
        </w:rPr>
        <w:t>што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указује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снажну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употребу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нетранспарентних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процедура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оба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ентитета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F16367C" w14:textId="771C46AB" w:rsidR="00755613" w:rsidRPr="00755613" w:rsidRDefault="005E4D1F" w:rsidP="00755613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color w:val="000000" w:themeColor="text1"/>
        </w:rPr>
        <w:t>Табеларни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приказ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вриједности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додијељених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уговора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за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преговарачки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поступак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без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објаве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обавјештења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о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набавци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у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2023. </w:t>
      </w:r>
      <w:r>
        <w:rPr>
          <w:rFonts w:ascii="Times New Roman" w:hAnsi="Times New Roman" w:cs="Times New Roman"/>
          <w:color w:val="000000" w:themeColor="text1"/>
        </w:rPr>
        <w:t>години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према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предмету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набавке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и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нивоу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власти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којем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припада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уговорни</w:t>
      </w:r>
      <w:r w:rsidR="00755613" w:rsidRPr="0075561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орган</w:t>
      </w:r>
      <w:r w:rsidR="00755613" w:rsidRPr="00755613">
        <w:rPr>
          <w:rFonts w:ascii="Times New Roman" w:hAnsi="Times New Roman" w:cs="Times New Roman"/>
          <w:color w:val="000000" w:themeColor="text1"/>
        </w:rPr>
        <w:t>: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032"/>
        <w:gridCol w:w="1678"/>
        <w:gridCol w:w="1775"/>
        <w:gridCol w:w="1775"/>
        <w:gridCol w:w="1310"/>
        <w:gridCol w:w="1775"/>
      </w:tblGrid>
      <w:tr w:rsidR="00755613" w:rsidRPr="00755613" w14:paraId="22AD5228" w14:textId="77777777" w:rsidTr="00794102">
        <w:trPr>
          <w:trHeight w:val="315"/>
        </w:trPr>
        <w:tc>
          <w:tcPr>
            <w:tcW w:w="13740" w:type="dxa"/>
            <w:gridSpan w:val="6"/>
            <w:shd w:val="clear" w:color="auto" w:fill="FFFF00"/>
            <w:hideMark/>
          </w:tcPr>
          <w:p w14:paraId="6234E7CB" w14:textId="513889B1" w:rsidR="00755613" w:rsidRPr="00755613" w:rsidRDefault="005E4D1F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Укупна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вриједност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додијељених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уговора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за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преговарачки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поступак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без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објаве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обавјештења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о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набавци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у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2023.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години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према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предмету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набавке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и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нивоу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власти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:</w:t>
            </w:r>
          </w:p>
        </w:tc>
      </w:tr>
      <w:tr w:rsidR="00755613" w:rsidRPr="00755613" w14:paraId="5732E8A1" w14:textId="77777777" w:rsidTr="00794102">
        <w:trPr>
          <w:trHeight w:val="315"/>
        </w:trPr>
        <w:tc>
          <w:tcPr>
            <w:tcW w:w="1476" w:type="dxa"/>
            <w:noWrap/>
            <w:hideMark/>
          </w:tcPr>
          <w:p w14:paraId="6E358239" w14:textId="77777777" w:rsidR="00755613" w:rsidRPr="00755613" w:rsidRDefault="00755613" w:rsidP="00794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75" w:type="dxa"/>
            <w:noWrap/>
            <w:hideMark/>
          </w:tcPr>
          <w:p w14:paraId="15D1BFAB" w14:textId="3675D01B" w:rsidR="00755613" w:rsidRPr="00755613" w:rsidRDefault="005E4D1F" w:rsidP="00794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БИХ</w:t>
            </w:r>
          </w:p>
        </w:tc>
        <w:tc>
          <w:tcPr>
            <w:tcW w:w="2627" w:type="dxa"/>
            <w:noWrap/>
            <w:hideMark/>
          </w:tcPr>
          <w:p w14:paraId="2AB2B972" w14:textId="604B6706" w:rsidR="00755613" w:rsidRPr="00755613" w:rsidRDefault="005E4D1F" w:rsidP="00794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ФБиХ</w:t>
            </w:r>
          </w:p>
        </w:tc>
        <w:tc>
          <w:tcPr>
            <w:tcW w:w="2627" w:type="dxa"/>
            <w:noWrap/>
            <w:hideMark/>
          </w:tcPr>
          <w:p w14:paraId="25811857" w14:textId="04997D11" w:rsidR="00755613" w:rsidRPr="00755613" w:rsidRDefault="005E4D1F" w:rsidP="00794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РС</w:t>
            </w:r>
          </w:p>
        </w:tc>
        <w:tc>
          <w:tcPr>
            <w:tcW w:w="1908" w:type="dxa"/>
            <w:noWrap/>
            <w:hideMark/>
          </w:tcPr>
          <w:p w14:paraId="648F97D9" w14:textId="11FB5193" w:rsidR="00755613" w:rsidRPr="00755613" w:rsidRDefault="005E4D1F" w:rsidP="00794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БД</w:t>
            </w:r>
          </w:p>
        </w:tc>
        <w:tc>
          <w:tcPr>
            <w:tcW w:w="2627" w:type="dxa"/>
            <w:noWrap/>
            <w:hideMark/>
          </w:tcPr>
          <w:p w14:paraId="73C13C4A" w14:textId="7F8F80D0" w:rsidR="00755613" w:rsidRPr="00755613" w:rsidRDefault="005E4D1F" w:rsidP="00794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Укупно</w:t>
            </w:r>
          </w:p>
        </w:tc>
      </w:tr>
      <w:tr w:rsidR="00755613" w:rsidRPr="00755613" w14:paraId="73CD54AC" w14:textId="77777777" w:rsidTr="00794102">
        <w:trPr>
          <w:trHeight w:val="315"/>
        </w:trPr>
        <w:tc>
          <w:tcPr>
            <w:tcW w:w="1476" w:type="dxa"/>
            <w:noWrap/>
            <w:hideMark/>
          </w:tcPr>
          <w:p w14:paraId="57134B2B" w14:textId="4A9BD3AA" w:rsidR="00755613" w:rsidRPr="00755613" w:rsidRDefault="005E4D1F" w:rsidP="00794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Робе</w:t>
            </w:r>
          </w:p>
        </w:tc>
        <w:tc>
          <w:tcPr>
            <w:tcW w:w="2475" w:type="dxa"/>
            <w:noWrap/>
            <w:hideMark/>
          </w:tcPr>
          <w:p w14:paraId="1A3792EE" w14:textId="77777777" w:rsidR="00755613" w:rsidRPr="00755613" w:rsidRDefault="00755613" w:rsidP="00794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383,427.39</w:t>
            </w:r>
          </w:p>
        </w:tc>
        <w:tc>
          <w:tcPr>
            <w:tcW w:w="2627" w:type="dxa"/>
            <w:noWrap/>
            <w:hideMark/>
          </w:tcPr>
          <w:p w14:paraId="610C73EC" w14:textId="77777777" w:rsidR="00755613" w:rsidRPr="00755613" w:rsidRDefault="00755613" w:rsidP="00794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93,788,801.51</w:t>
            </w:r>
          </w:p>
        </w:tc>
        <w:tc>
          <w:tcPr>
            <w:tcW w:w="2627" w:type="dxa"/>
            <w:noWrap/>
            <w:hideMark/>
          </w:tcPr>
          <w:p w14:paraId="35C81F2B" w14:textId="77777777" w:rsidR="00755613" w:rsidRPr="00755613" w:rsidRDefault="00755613" w:rsidP="00794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25,584,907.32</w:t>
            </w:r>
          </w:p>
        </w:tc>
        <w:tc>
          <w:tcPr>
            <w:tcW w:w="1908" w:type="dxa"/>
            <w:noWrap/>
            <w:hideMark/>
          </w:tcPr>
          <w:p w14:paraId="596086D1" w14:textId="77777777" w:rsidR="00755613" w:rsidRPr="00755613" w:rsidRDefault="00755613" w:rsidP="00794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27,100.00</w:t>
            </w:r>
          </w:p>
        </w:tc>
        <w:tc>
          <w:tcPr>
            <w:tcW w:w="2627" w:type="dxa"/>
            <w:noWrap/>
            <w:hideMark/>
          </w:tcPr>
          <w:p w14:paraId="6720E3BA" w14:textId="77777777" w:rsidR="00755613" w:rsidRPr="00755613" w:rsidRDefault="00755613" w:rsidP="0079410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119,784,236.22</w:t>
            </w:r>
          </w:p>
        </w:tc>
      </w:tr>
      <w:tr w:rsidR="00755613" w:rsidRPr="00755613" w14:paraId="19EB6B82" w14:textId="77777777" w:rsidTr="00794102">
        <w:trPr>
          <w:trHeight w:val="315"/>
        </w:trPr>
        <w:tc>
          <w:tcPr>
            <w:tcW w:w="1476" w:type="dxa"/>
            <w:noWrap/>
            <w:hideMark/>
          </w:tcPr>
          <w:p w14:paraId="27363F39" w14:textId="203F4156" w:rsidR="00755613" w:rsidRPr="00755613" w:rsidRDefault="005E4D1F" w:rsidP="00794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Услуге</w:t>
            </w:r>
          </w:p>
        </w:tc>
        <w:tc>
          <w:tcPr>
            <w:tcW w:w="2475" w:type="dxa"/>
            <w:noWrap/>
            <w:hideMark/>
          </w:tcPr>
          <w:p w14:paraId="6724478B" w14:textId="77777777" w:rsidR="00755613" w:rsidRPr="00755613" w:rsidRDefault="00755613" w:rsidP="00794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4,690,459.50</w:t>
            </w:r>
          </w:p>
        </w:tc>
        <w:tc>
          <w:tcPr>
            <w:tcW w:w="2627" w:type="dxa"/>
            <w:noWrap/>
            <w:hideMark/>
          </w:tcPr>
          <w:p w14:paraId="75D99787" w14:textId="77777777" w:rsidR="00755613" w:rsidRPr="00755613" w:rsidRDefault="00755613" w:rsidP="00794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44,496,973.96</w:t>
            </w:r>
          </w:p>
        </w:tc>
        <w:tc>
          <w:tcPr>
            <w:tcW w:w="2627" w:type="dxa"/>
            <w:noWrap/>
            <w:hideMark/>
          </w:tcPr>
          <w:p w14:paraId="379715CC" w14:textId="77777777" w:rsidR="00755613" w:rsidRPr="00755613" w:rsidRDefault="00755613" w:rsidP="00794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29,001,665.71</w:t>
            </w:r>
          </w:p>
        </w:tc>
        <w:tc>
          <w:tcPr>
            <w:tcW w:w="1908" w:type="dxa"/>
            <w:noWrap/>
            <w:hideMark/>
          </w:tcPr>
          <w:p w14:paraId="3A2C0169" w14:textId="77777777" w:rsidR="00755613" w:rsidRPr="00755613" w:rsidRDefault="00755613" w:rsidP="00794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410,426.90</w:t>
            </w:r>
          </w:p>
        </w:tc>
        <w:tc>
          <w:tcPr>
            <w:tcW w:w="2627" w:type="dxa"/>
            <w:noWrap/>
            <w:hideMark/>
          </w:tcPr>
          <w:p w14:paraId="453EEBDE" w14:textId="77777777" w:rsidR="00755613" w:rsidRPr="00755613" w:rsidRDefault="00755613" w:rsidP="0079410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78,599,526.07</w:t>
            </w:r>
          </w:p>
        </w:tc>
      </w:tr>
      <w:tr w:rsidR="00755613" w:rsidRPr="00755613" w14:paraId="116CA55C" w14:textId="77777777" w:rsidTr="00794102">
        <w:trPr>
          <w:trHeight w:val="315"/>
        </w:trPr>
        <w:tc>
          <w:tcPr>
            <w:tcW w:w="1476" w:type="dxa"/>
            <w:noWrap/>
            <w:hideMark/>
          </w:tcPr>
          <w:p w14:paraId="7788151E" w14:textId="35F180B3" w:rsidR="00755613" w:rsidRPr="00755613" w:rsidRDefault="005E4D1F" w:rsidP="00794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Радови</w:t>
            </w:r>
          </w:p>
        </w:tc>
        <w:tc>
          <w:tcPr>
            <w:tcW w:w="2475" w:type="dxa"/>
            <w:noWrap/>
            <w:hideMark/>
          </w:tcPr>
          <w:p w14:paraId="3A9F1743" w14:textId="77777777" w:rsidR="00755613" w:rsidRPr="00755613" w:rsidRDefault="00755613" w:rsidP="00794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1,344,142.05</w:t>
            </w:r>
          </w:p>
        </w:tc>
        <w:tc>
          <w:tcPr>
            <w:tcW w:w="2627" w:type="dxa"/>
            <w:noWrap/>
            <w:hideMark/>
          </w:tcPr>
          <w:p w14:paraId="044C2675" w14:textId="77777777" w:rsidR="00755613" w:rsidRPr="00755613" w:rsidRDefault="00755613" w:rsidP="00794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16,998,616.01</w:t>
            </w:r>
          </w:p>
        </w:tc>
        <w:tc>
          <w:tcPr>
            <w:tcW w:w="2627" w:type="dxa"/>
            <w:noWrap/>
            <w:hideMark/>
          </w:tcPr>
          <w:p w14:paraId="786C040F" w14:textId="77777777" w:rsidR="00755613" w:rsidRPr="00755613" w:rsidRDefault="00755613" w:rsidP="00794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89,447,037.01</w:t>
            </w:r>
          </w:p>
        </w:tc>
        <w:tc>
          <w:tcPr>
            <w:tcW w:w="1908" w:type="dxa"/>
            <w:noWrap/>
            <w:hideMark/>
          </w:tcPr>
          <w:p w14:paraId="62E49E12" w14:textId="77777777" w:rsidR="00755613" w:rsidRPr="00755613" w:rsidRDefault="00755613" w:rsidP="00794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266,839.76</w:t>
            </w:r>
          </w:p>
        </w:tc>
        <w:tc>
          <w:tcPr>
            <w:tcW w:w="2627" w:type="dxa"/>
            <w:noWrap/>
            <w:hideMark/>
          </w:tcPr>
          <w:p w14:paraId="779104A8" w14:textId="77777777" w:rsidR="00755613" w:rsidRPr="00755613" w:rsidRDefault="00755613" w:rsidP="0079410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108,056,634.83</w:t>
            </w:r>
          </w:p>
        </w:tc>
      </w:tr>
      <w:tr w:rsidR="00755613" w:rsidRPr="00755613" w14:paraId="1E229269" w14:textId="77777777" w:rsidTr="00794102">
        <w:trPr>
          <w:trHeight w:val="315"/>
        </w:trPr>
        <w:tc>
          <w:tcPr>
            <w:tcW w:w="1476" w:type="dxa"/>
            <w:noWrap/>
            <w:hideMark/>
          </w:tcPr>
          <w:p w14:paraId="10106582" w14:textId="46306B0E" w:rsidR="00755613" w:rsidRPr="00755613" w:rsidRDefault="005E4D1F" w:rsidP="0079410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Укупно</w:t>
            </w:r>
          </w:p>
        </w:tc>
        <w:tc>
          <w:tcPr>
            <w:tcW w:w="2475" w:type="dxa"/>
            <w:noWrap/>
            <w:hideMark/>
          </w:tcPr>
          <w:p w14:paraId="6012F0B6" w14:textId="77777777" w:rsidR="00755613" w:rsidRPr="00755613" w:rsidRDefault="00755613" w:rsidP="0079410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6,418,028.94</w:t>
            </w:r>
          </w:p>
        </w:tc>
        <w:tc>
          <w:tcPr>
            <w:tcW w:w="2627" w:type="dxa"/>
            <w:noWrap/>
            <w:hideMark/>
          </w:tcPr>
          <w:p w14:paraId="51A950B4" w14:textId="77777777" w:rsidR="00755613" w:rsidRPr="00755613" w:rsidRDefault="00755613" w:rsidP="0079410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155,284,391.48</w:t>
            </w:r>
          </w:p>
        </w:tc>
        <w:tc>
          <w:tcPr>
            <w:tcW w:w="2627" w:type="dxa"/>
            <w:noWrap/>
            <w:hideMark/>
          </w:tcPr>
          <w:p w14:paraId="6789FA61" w14:textId="77777777" w:rsidR="00755613" w:rsidRPr="00755613" w:rsidRDefault="00755613" w:rsidP="0079410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144,033,610.04</w:t>
            </w:r>
          </w:p>
        </w:tc>
        <w:tc>
          <w:tcPr>
            <w:tcW w:w="1908" w:type="dxa"/>
            <w:noWrap/>
            <w:hideMark/>
          </w:tcPr>
          <w:p w14:paraId="33575825" w14:textId="77777777" w:rsidR="00755613" w:rsidRPr="00755613" w:rsidRDefault="00755613" w:rsidP="0079410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704,366.66</w:t>
            </w:r>
          </w:p>
        </w:tc>
        <w:tc>
          <w:tcPr>
            <w:tcW w:w="2627" w:type="dxa"/>
            <w:noWrap/>
            <w:hideMark/>
          </w:tcPr>
          <w:p w14:paraId="38DD556A" w14:textId="77777777" w:rsidR="00755613" w:rsidRPr="00755613" w:rsidRDefault="00755613" w:rsidP="0079410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306,440,397.12</w:t>
            </w:r>
          </w:p>
        </w:tc>
      </w:tr>
    </w:tbl>
    <w:p w14:paraId="2F5783E3" w14:textId="77777777" w:rsidR="00755613" w:rsidRPr="00E25FE4" w:rsidRDefault="00755613" w:rsidP="00755613">
      <w:pPr>
        <w:rPr>
          <w:i/>
          <w:iCs/>
        </w:rPr>
      </w:pPr>
    </w:p>
    <w:p w14:paraId="4B6B68B7" w14:textId="77777777" w:rsidR="00755613" w:rsidRPr="00E25FE4" w:rsidRDefault="00755613" w:rsidP="00755613">
      <w:pPr>
        <w:rPr>
          <w:i/>
          <w:iCs/>
        </w:rPr>
      </w:pPr>
      <w:r>
        <w:rPr>
          <w:noProof/>
        </w:rPr>
        <w:lastRenderedPageBreak/>
        <w:drawing>
          <wp:inline distT="0" distB="0" distL="0" distR="0" wp14:anchorId="4EB4B571" wp14:editId="05A18ADE">
            <wp:extent cx="5924550" cy="3190875"/>
            <wp:effectExtent l="0" t="0" r="0" b="9525"/>
            <wp:docPr id="74025545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6A08F1A-291A-F257-B3F3-4D2171509E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29D18BB" w14:textId="0A8D433A" w:rsidR="00755613" w:rsidRPr="00755613" w:rsidRDefault="005E4D1F" w:rsidP="007556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Табеларни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приказ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укупног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броја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додијељених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уговора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преговарачки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поступак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без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објаве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обавјештења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набавци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755613" w:rsidRPr="00755613">
        <w:rPr>
          <w:rFonts w:ascii="Times New Roman" w:hAnsi="Times New Roman" w:cs="Times New Roman"/>
        </w:rPr>
        <w:t xml:space="preserve"> 2023. </w:t>
      </w:r>
      <w:r>
        <w:rPr>
          <w:rFonts w:ascii="Times New Roman" w:hAnsi="Times New Roman" w:cs="Times New Roman"/>
        </w:rPr>
        <w:t>години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према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предмету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набавке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нивоу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власти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којем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припада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уговорни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</w:t>
      </w:r>
      <w:r w:rsidR="00755613" w:rsidRPr="00755613">
        <w:rPr>
          <w:rFonts w:ascii="Times New Roman" w:hAnsi="Times New Roman" w:cs="Times New Roman"/>
        </w:rPr>
        <w:t>:</w:t>
      </w:r>
    </w:p>
    <w:p w14:paraId="0FCABF7D" w14:textId="77777777" w:rsidR="00755613" w:rsidRPr="001339EC" w:rsidRDefault="00755613" w:rsidP="00755613">
      <w:pPr>
        <w:jc w:val="both"/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1070"/>
        <w:gridCol w:w="1620"/>
        <w:gridCol w:w="1800"/>
        <w:gridCol w:w="1800"/>
        <w:gridCol w:w="1260"/>
        <w:gridCol w:w="1800"/>
      </w:tblGrid>
      <w:tr w:rsidR="00755613" w14:paraId="3676FF42" w14:textId="77777777" w:rsidTr="00794102">
        <w:trPr>
          <w:trHeight w:val="317"/>
        </w:trPr>
        <w:tc>
          <w:tcPr>
            <w:tcW w:w="93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7020D422" w14:textId="307017E7" w:rsidR="00755613" w:rsidRPr="00755613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Укупан</w:t>
            </w:r>
            <w:r w:rsidR="00755613"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број</w:t>
            </w:r>
            <w:r w:rsidR="00755613"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додијељених</w:t>
            </w:r>
            <w:r w:rsidR="00755613"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уговора</w:t>
            </w:r>
            <w:r w:rsidR="00755613"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755613"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преговарачки</w:t>
            </w:r>
            <w:r w:rsidR="00755613"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поступак</w:t>
            </w:r>
            <w:r w:rsidR="00755613"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 w:rsidR="00755613"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објаве</w:t>
            </w:r>
            <w:r w:rsidR="00755613"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обавјештења</w:t>
            </w:r>
            <w:r w:rsidR="00755613"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755613"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набавци</w:t>
            </w:r>
            <w:r w:rsidR="00755613"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755613"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2023.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години</w:t>
            </w:r>
            <w:r w:rsidR="00755613"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према</w:t>
            </w:r>
            <w:r w:rsidR="00755613"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предмету</w:t>
            </w:r>
            <w:r w:rsidR="00755613"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набавке</w:t>
            </w:r>
            <w:r w:rsidR="00755613"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755613"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нивоу</w:t>
            </w:r>
            <w:r w:rsidR="00755613"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 w:rsidR="00755613"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</w:tr>
      <w:tr w:rsidR="00755613" w14:paraId="73943A1E" w14:textId="77777777" w:rsidTr="00794102">
        <w:trPr>
          <w:trHeight w:val="317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E2B57D4" w14:textId="77777777" w:rsidR="00755613" w:rsidRPr="00755613" w:rsidRDefault="00755613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D5131E" w14:textId="6BDE3703" w:rsidR="00755613" w:rsidRPr="00755613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B3B18" w14:textId="31631A1E" w:rsidR="00755613" w:rsidRPr="00755613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ФБиХ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26CF5B" w14:textId="6606671F" w:rsidR="00755613" w:rsidRPr="00755613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ED7C0D" w14:textId="374B2B9E" w:rsidR="00755613" w:rsidRPr="00755613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BCB5B8" w14:textId="3AE717F2" w:rsidR="00755613" w:rsidRPr="00755613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Укупно</w:t>
            </w:r>
          </w:p>
        </w:tc>
      </w:tr>
      <w:tr w:rsidR="00755613" w14:paraId="2073AF67" w14:textId="77777777" w:rsidTr="00794102">
        <w:trPr>
          <w:trHeight w:val="317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868EC8" w14:textId="0567C99C" w:rsidR="00755613" w:rsidRPr="00755613" w:rsidRDefault="005E4D1F" w:rsidP="00794102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Робе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20481F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7BD9AD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5AAAF8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5DE63B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561BC2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418</w:t>
            </w:r>
          </w:p>
        </w:tc>
      </w:tr>
      <w:tr w:rsidR="00755613" w14:paraId="3D002347" w14:textId="77777777" w:rsidTr="00794102">
        <w:trPr>
          <w:trHeight w:val="317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1CD8AA" w14:textId="4BA9EB0D" w:rsidR="00755613" w:rsidRPr="00755613" w:rsidRDefault="005E4D1F" w:rsidP="00794102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B0A7DC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245BF2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E80F28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9A4CDE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83CA99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498</w:t>
            </w:r>
          </w:p>
        </w:tc>
      </w:tr>
      <w:tr w:rsidR="00755613" w14:paraId="5EB68392" w14:textId="77777777" w:rsidTr="00794102">
        <w:trPr>
          <w:trHeight w:val="317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563083" w14:textId="29C7D8CB" w:rsidR="00755613" w:rsidRPr="00755613" w:rsidRDefault="005E4D1F" w:rsidP="00794102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Радови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8FE3A4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1CBA15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1B979C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942FA9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F54720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288</w:t>
            </w:r>
          </w:p>
        </w:tc>
      </w:tr>
      <w:tr w:rsidR="00755613" w14:paraId="742F3011" w14:textId="77777777" w:rsidTr="00794102">
        <w:trPr>
          <w:trHeight w:val="317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E25614" w14:textId="521D6033" w:rsidR="00755613" w:rsidRPr="00755613" w:rsidRDefault="005E4D1F" w:rsidP="0079410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0CEF2A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401D6A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B5286C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DCAAEC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960AF6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1204</w:t>
            </w:r>
          </w:p>
        </w:tc>
      </w:tr>
    </w:tbl>
    <w:p w14:paraId="5153FEED" w14:textId="77777777" w:rsidR="00755613" w:rsidRPr="00E25FE4" w:rsidRDefault="00755613" w:rsidP="00755613">
      <w:pPr>
        <w:jc w:val="both"/>
        <w:rPr>
          <w:i/>
          <w:iCs/>
        </w:rPr>
      </w:pPr>
    </w:p>
    <w:p w14:paraId="0A8FEE46" w14:textId="77777777" w:rsidR="00755613" w:rsidRDefault="00755613" w:rsidP="00755613">
      <w:pPr>
        <w:jc w:val="center"/>
        <w:rPr>
          <w:i/>
          <w:iCs/>
        </w:rPr>
      </w:pPr>
      <w:r>
        <w:rPr>
          <w:noProof/>
        </w:rPr>
        <w:lastRenderedPageBreak/>
        <w:drawing>
          <wp:inline distT="0" distB="0" distL="0" distR="0" wp14:anchorId="21591FD2" wp14:editId="73268577">
            <wp:extent cx="5943600" cy="3067050"/>
            <wp:effectExtent l="0" t="0" r="0" b="0"/>
            <wp:docPr id="204883351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CA046B8-5A11-C9C6-2830-C0CB64286A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20519B4" w14:textId="77777777" w:rsidR="00755613" w:rsidRPr="0021204D" w:rsidRDefault="00755613" w:rsidP="00E87E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EEE543" w14:textId="55530536" w:rsidR="0021204D" w:rsidRPr="0021204D" w:rsidRDefault="005E4D1F" w:rsidP="00212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б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Сектори</w:t>
      </w:r>
    </w:p>
    <w:p w14:paraId="45DE2DC1" w14:textId="45452CEA" w:rsidR="0021204D" w:rsidRPr="0021204D" w:rsidRDefault="005E4D1F" w:rsidP="00747F8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Радови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раст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ПБО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низак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просјек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понуда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8E2D09" w14:textId="22D5D9AD" w:rsidR="0021204D" w:rsidRPr="00FE0DD3" w:rsidRDefault="005E4D1F" w:rsidP="00747F8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Здравство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FE64DA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Анекс</w:t>
      </w:r>
      <w:r w:rsidR="00FE64DA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II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раст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али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462B000" w14:textId="09542DCF" w:rsidR="0021204D" w:rsidRPr="00FE0DD3" w:rsidRDefault="005E4D1F" w:rsidP="00747F8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Енергетика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комуналије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даље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висока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концентрација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906C20B" w14:textId="73C8BF4F" w:rsidR="0021204D" w:rsidRPr="0021204D" w:rsidRDefault="0021204D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4F1C3B" w14:textId="3F2C2809" w:rsidR="0021204D" w:rsidRPr="00FE0DD3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3.5.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Концентрација</w:t>
      </w: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вриједности</w:t>
      </w: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уговора</w:t>
      </w: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(2023)</w:t>
      </w:r>
    </w:p>
    <w:p w14:paraId="5CFABD34" w14:textId="340B92FD" w:rsidR="0021204D" w:rsidRPr="00FE0DD3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Групе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A394F75" w14:textId="616619D7" w:rsidR="0021204D" w:rsidRPr="0021204D" w:rsidRDefault="0021204D" w:rsidP="00747F8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1.499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уговора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(0,61%)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23A9EDA2" w14:textId="19A7E84D" w:rsidR="0021204D" w:rsidRDefault="0021204D" w:rsidP="00747F8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601.625.930,55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КМ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, ≈ 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11,89%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укупне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вриједности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D75BF60" w14:textId="574FFFC1" w:rsidR="00755613" w:rsidRPr="00755613" w:rsidRDefault="005E4D1F" w:rsidP="00755613">
      <w:pPr>
        <w:jc w:val="both"/>
        <w:rPr>
          <w:rFonts w:ascii="Times New Roman" w:hAnsi="Times New Roman" w:cs="Times New Roman"/>
          <w:bCs/>
        </w:rPr>
      </w:pPr>
      <w:bookmarkStart w:id="0" w:name="_Hlk215570830"/>
      <w:r>
        <w:rPr>
          <w:rFonts w:ascii="Times New Roman" w:hAnsi="Times New Roman" w:cs="Times New Roman"/>
        </w:rPr>
        <w:t>Укупан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број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додијељених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уговора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755613" w:rsidRPr="00755613">
        <w:rPr>
          <w:rFonts w:ascii="Times New Roman" w:hAnsi="Times New Roman" w:cs="Times New Roman"/>
        </w:rPr>
        <w:t xml:space="preserve"> 2023. </w:t>
      </w:r>
      <w:r>
        <w:rPr>
          <w:rFonts w:ascii="Times New Roman" w:hAnsi="Times New Roman" w:cs="Times New Roman"/>
        </w:rPr>
        <w:t>години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износио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је</w:t>
      </w:r>
      <w:r w:rsidR="00755613" w:rsidRPr="00755613">
        <w:rPr>
          <w:rFonts w:ascii="Times New Roman" w:hAnsi="Times New Roman" w:cs="Times New Roman"/>
        </w:rPr>
        <w:t xml:space="preserve"> </w:t>
      </w:r>
      <w:r w:rsidR="00755613" w:rsidRPr="00755613">
        <w:rPr>
          <w:rFonts w:ascii="Times New Roman" w:hAnsi="Times New Roman" w:cs="Times New Roman"/>
          <w:b/>
        </w:rPr>
        <w:t xml:space="preserve">243.860 </w:t>
      </w:r>
      <w:r>
        <w:rPr>
          <w:rFonts w:ascii="Times New Roman" w:hAnsi="Times New Roman" w:cs="Times New Roman"/>
          <w:bCs/>
        </w:rPr>
        <w:t>Од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укупног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број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додијељених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уговора</w:t>
      </w:r>
      <w:r w:rsidR="00755613" w:rsidRPr="00755613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групи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понуђача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је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додијељено</w:t>
      </w:r>
      <w:r w:rsidR="00755613" w:rsidRPr="00755613">
        <w:rPr>
          <w:rFonts w:ascii="Times New Roman" w:hAnsi="Times New Roman" w:cs="Times New Roman"/>
          <w:bCs/>
        </w:rPr>
        <w:t xml:space="preserve"> 1.499 </w:t>
      </w:r>
      <w:r>
        <w:rPr>
          <w:rFonts w:ascii="Times New Roman" w:hAnsi="Times New Roman" w:cs="Times New Roman"/>
          <w:bCs/>
        </w:rPr>
        <w:t>уговора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или</w:t>
      </w:r>
      <w:r w:rsidR="00755613" w:rsidRPr="00755613">
        <w:rPr>
          <w:rFonts w:ascii="Times New Roman" w:hAnsi="Times New Roman" w:cs="Times New Roman"/>
          <w:bCs/>
        </w:rPr>
        <w:t xml:space="preserve"> 0.61% </w:t>
      </w:r>
      <w:r>
        <w:rPr>
          <w:rFonts w:ascii="Times New Roman" w:hAnsi="Times New Roman" w:cs="Times New Roman"/>
          <w:bCs/>
        </w:rPr>
        <w:t>од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укупног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броја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додијељених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уговора</w:t>
      </w:r>
      <w:r w:rsidR="00755613" w:rsidRPr="00755613">
        <w:rPr>
          <w:rFonts w:ascii="Times New Roman" w:hAnsi="Times New Roman" w:cs="Times New Roman"/>
          <w:bCs/>
        </w:rPr>
        <w:t>.</w:t>
      </w:r>
    </w:p>
    <w:bookmarkEnd w:id="0"/>
    <w:p w14:paraId="45EBD923" w14:textId="41BEDF51" w:rsidR="00755613" w:rsidRPr="00755613" w:rsidRDefault="005E4D1F" w:rsidP="007556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Укупна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вриједност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додијељених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уговора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у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поступцима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јавних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набавки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у</w:t>
      </w:r>
      <w:r w:rsidR="00755613" w:rsidRPr="00755613">
        <w:rPr>
          <w:rFonts w:ascii="Times New Roman" w:hAnsi="Times New Roman" w:cs="Times New Roman"/>
          <w:bCs/>
        </w:rPr>
        <w:t xml:space="preserve"> 2023. </w:t>
      </w:r>
      <w:r>
        <w:rPr>
          <w:rFonts w:ascii="Times New Roman" w:hAnsi="Times New Roman" w:cs="Times New Roman"/>
          <w:bCs/>
        </w:rPr>
        <w:t>години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износила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је</w:t>
      </w:r>
      <w:r w:rsidR="00755613" w:rsidRPr="00755613">
        <w:rPr>
          <w:rFonts w:ascii="Times New Roman" w:hAnsi="Times New Roman" w:cs="Times New Roman"/>
          <w:bCs/>
        </w:rPr>
        <w:t xml:space="preserve"> </w:t>
      </w:r>
      <w:r w:rsidR="00755613" w:rsidRPr="00755613">
        <w:rPr>
          <w:rFonts w:ascii="Times New Roman" w:hAnsi="Times New Roman" w:cs="Times New Roman"/>
        </w:rPr>
        <w:t xml:space="preserve">5.060.132.125,61 </w:t>
      </w:r>
      <w:r>
        <w:rPr>
          <w:rFonts w:ascii="Times New Roman" w:hAnsi="Times New Roman" w:cs="Times New Roman"/>
        </w:rPr>
        <w:t>КМ</w:t>
      </w:r>
      <w:r w:rsidR="00755613" w:rsidRPr="0075561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Вриједност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додијељених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уговора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групи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понуђача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износила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је</w:t>
      </w:r>
      <w:r w:rsidR="00755613" w:rsidRPr="00755613">
        <w:rPr>
          <w:rFonts w:ascii="Times New Roman" w:hAnsi="Times New Roman" w:cs="Times New Roman"/>
        </w:rPr>
        <w:t xml:space="preserve"> 601.625.930,55 </w:t>
      </w:r>
      <w:r>
        <w:rPr>
          <w:rFonts w:ascii="Times New Roman" w:hAnsi="Times New Roman" w:cs="Times New Roman"/>
        </w:rPr>
        <w:t>КМ</w:t>
      </w:r>
      <w:r w:rsidR="00755613" w:rsidRPr="0075561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односно</w:t>
      </w:r>
      <w:r w:rsidR="00755613" w:rsidRPr="00755613">
        <w:rPr>
          <w:rFonts w:ascii="Times New Roman" w:hAnsi="Times New Roman" w:cs="Times New Roman"/>
        </w:rPr>
        <w:t xml:space="preserve"> 11,89 % </w:t>
      </w:r>
      <w:r>
        <w:rPr>
          <w:rFonts w:ascii="Times New Roman" w:hAnsi="Times New Roman" w:cs="Times New Roman"/>
        </w:rPr>
        <w:t>укупне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вриједности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свих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додијељених</w:t>
      </w:r>
      <w:r w:rsidR="00755613" w:rsidRPr="00755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уговора</w:t>
      </w:r>
      <w:r w:rsidR="00755613" w:rsidRPr="00755613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18"/>
        <w:gridCol w:w="3116"/>
        <w:gridCol w:w="3116"/>
      </w:tblGrid>
      <w:tr w:rsidR="00755613" w:rsidRPr="00832BEF" w14:paraId="7B28D68B" w14:textId="77777777" w:rsidTr="00794102">
        <w:trPr>
          <w:jc w:val="center"/>
        </w:trPr>
        <w:tc>
          <w:tcPr>
            <w:tcW w:w="3118" w:type="dxa"/>
            <w:vMerge w:val="restart"/>
            <w:shd w:val="clear" w:color="auto" w:fill="FFFF00"/>
          </w:tcPr>
          <w:p w14:paraId="5C56492B" w14:textId="77777777" w:rsidR="00755613" w:rsidRPr="00755613" w:rsidRDefault="00755613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FFFF00"/>
          </w:tcPr>
          <w:p w14:paraId="7541DF85" w14:textId="12F6E55A" w:rsidR="00755613" w:rsidRPr="00755613" w:rsidRDefault="005E4D1F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Група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понуђача</w:t>
            </w:r>
          </w:p>
        </w:tc>
      </w:tr>
      <w:tr w:rsidR="00755613" w:rsidRPr="00832BEF" w14:paraId="3071DCB0" w14:textId="77777777" w:rsidTr="00794102">
        <w:trPr>
          <w:jc w:val="center"/>
        </w:trPr>
        <w:tc>
          <w:tcPr>
            <w:tcW w:w="3118" w:type="dxa"/>
            <w:vMerge/>
            <w:shd w:val="clear" w:color="auto" w:fill="FFFF00"/>
          </w:tcPr>
          <w:p w14:paraId="68BB7B9E" w14:textId="77777777" w:rsidR="00755613" w:rsidRPr="00755613" w:rsidRDefault="00755613" w:rsidP="0079410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6" w:type="dxa"/>
            <w:shd w:val="clear" w:color="auto" w:fill="FFFF00"/>
          </w:tcPr>
          <w:p w14:paraId="7B82569A" w14:textId="77777777" w:rsidR="00755613" w:rsidRPr="00755613" w:rsidRDefault="00755613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3116" w:type="dxa"/>
            <w:shd w:val="clear" w:color="auto" w:fill="FFFF00"/>
          </w:tcPr>
          <w:p w14:paraId="52415BF6" w14:textId="77777777" w:rsidR="00755613" w:rsidRPr="00755613" w:rsidRDefault="00755613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</w:tr>
      <w:tr w:rsidR="00755613" w:rsidRPr="00832BEF" w14:paraId="1192D5AB" w14:textId="77777777" w:rsidTr="00794102">
        <w:trPr>
          <w:trHeight w:val="233"/>
          <w:jc w:val="center"/>
        </w:trPr>
        <w:tc>
          <w:tcPr>
            <w:tcW w:w="3118" w:type="dxa"/>
            <w:vMerge/>
            <w:shd w:val="clear" w:color="auto" w:fill="FFFF00"/>
          </w:tcPr>
          <w:p w14:paraId="1B2C0A21" w14:textId="77777777" w:rsidR="00755613" w:rsidRPr="00755613" w:rsidRDefault="00755613" w:rsidP="0079410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6" w:type="dxa"/>
            <w:shd w:val="clear" w:color="auto" w:fill="FFFF00"/>
          </w:tcPr>
          <w:p w14:paraId="038D64B1" w14:textId="168DA8FA" w:rsidR="00755613" w:rsidRPr="00755613" w:rsidRDefault="005E4D1F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3116" w:type="dxa"/>
            <w:shd w:val="clear" w:color="auto" w:fill="FFFF00"/>
          </w:tcPr>
          <w:p w14:paraId="625C7F77" w14:textId="1159C903" w:rsidR="00755613" w:rsidRPr="00755613" w:rsidRDefault="005E4D1F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</w:tr>
      <w:tr w:rsidR="00755613" w:rsidRPr="00832BEF" w14:paraId="451F6F1B" w14:textId="77777777" w:rsidTr="00794102">
        <w:trPr>
          <w:jc w:val="center"/>
        </w:trPr>
        <w:tc>
          <w:tcPr>
            <w:tcW w:w="3118" w:type="dxa"/>
            <w:shd w:val="clear" w:color="auto" w:fill="FFFF00"/>
          </w:tcPr>
          <w:p w14:paraId="491BC801" w14:textId="394C8A1A" w:rsidR="00755613" w:rsidRPr="00755613" w:rsidRDefault="005E4D1F" w:rsidP="0079410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Робе</w:t>
            </w:r>
          </w:p>
        </w:tc>
        <w:tc>
          <w:tcPr>
            <w:tcW w:w="3116" w:type="dxa"/>
            <w:vAlign w:val="bottom"/>
          </w:tcPr>
          <w:p w14:paraId="49D4A1C2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58.906.906,78</w:t>
            </w:r>
          </w:p>
        </w:tc>
        <w:tc>
          <w:tcPr>
            <w:tcW w:w="3116" w:type="dxa"/>
            <w:vAlign w:val="bottom"/>
          </w:tcPr>
          <w:p w14:paraId="7D4E6FAE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76.844.536,26</w:t>
            </w:r>
          </w:p>
        </w:tc>
      </w:tr>
      <w:tr w:rsidR="00755613" w:rsidRPr="00832BEF" w14:paraId="2799783F" w14:textId="77777777" w:rsidTr="00794102">
        <w:trPr>
          <w:jc w:val="center"/>
        </w:trPr>
        <w:tc>
          <w:tcPr>
            <w:tcW w:w="3118" w:type="dxa"/>
            <w:shd w:val="clear" w:color="auto" w:fill="FFFF00"/>
          </w:tcPr>
          <w:p w14:paraId="61F63340" w14:textId="3D0F6485" w:rsidR="00755613" w:rsidRPr="00755613" w:rsidRDefault="005E4D1F" w:rsidP="0079410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Услуге</w:t>
            </w:r>
          </w:p>
        </w:tc>
        <w:tc>
          <w:tcPr>
            <w:tcW w:w="3116" w:type="dxa"/>
            <w:vAlign w:val="bottom"/>
          </w:tcPr>
          <w:p w14:paraId="3D19134A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224.685.705,20</w:t>
            </w:r>
          </w:p>
        </w:tc>
        <w:tc>
          <w:tcPr>
            <w:tcW w:w="3116" w:type="dxa"/>
            <w:vAlign w:val="bottom"/>
          </w:tcPr>
          <w:p w14:paraId="0605CD16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153.085.820,99</w:t>
            </w:r>
          </w:p>
        </w:tc>
      </w:tr>
      <w:tr w:rsidR="00755613" w:rsidRPr="00832BEF" w14:paraId="2B356A90" w14:textId="77777777" w:rsidTr="00794102">
        <w:trPr>
          <w:jc w:val="center"/>
        </w:trPr>
        <w:tc>
          <w:tcPr>
            <w:tcW w:w="3118" w:type="dxa"/>
            <w:shd w:val="clear" w:color="auto" w:fill="FFFF00"/>
          </w:tcPr>
          <w:p w14:paraId="45A6C5A7" w14:textId="620B78FB" w:rsidR="00755613" w:rsidRPr="00755613" w:rsidRDefault="005E4D1F" w:rsidP="0079410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Радови</w:t>
            </w:r>
            <w:r w:rsidR="00755613" w:rsidRPr="007556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16" w:type="dxa"/>
            <w:vAlign w:val="bottom"/>
          </w:tcPr>
          <w:p w14:paraId="29F97D6C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635.768.113,79</w:t>
            </w:r>
          </w:p>
        </w:tc>
        <w:tc>
          <w:tcPr>
            <w:tcW w:w="3116" w:type="dxa"/>
            <w:vAlign w:val="bottom"/>
          </w:tcPr>
          <w:p w14:paraId="634D6555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371.695.573,30</w:t>
            </w:r>
          </w:p>
        </w:tc>
      </w:tr>
      <w:tr w:rsidR="00755613" w:rsidRPr="00832BEF" w14:paraId="73D6167F" w14:textId="77777777" w:rsidTr="00794102">
        <w:trPr>
          <w:jc w:val="center"/>
        </w:trPr>
        <w:tc>
          <w:tcPr>
            <w:tcW w:w="3118" w:type="dxa"/>
            <w:shd w:val="clear" w:color="auto" w:fill="FFFF00"/>
          </w:tcPr>
          <w:p w14:paraId="3B45D361" w14:textId="3E24B5BD" w:rsidR="00755613" w:rsidRPr="00755613" w:rsidRDefault="005E4D1F" w:rsidP="0079410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Укупно</w:t>
            </w:r>
          </w:p>
        </w:tc>
        <w:tc>
          <w:tcPr>
            <w:tcW w:w="3116" w:type="dxa"/>
            <w:vAlign w:val="bottom"/>
          </w:tcPr>
          <w:p w14:paraId="00CB0B81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 w:rsidRPr="00755613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919.360.725,77</w:t>
            </w:r>
          </w:p>
        </w:tc>
        <w:tc>
          <w:tcPr>
            <w:tcW w:w="3116" w:type="dxa"/>
            <w:vAlign w:val="bottom"/>
          </w:tcPr>
          <w:p w14:paraId="0885107C" w14:textId="77777777" w:rsidR="00755613" w:rsidRPr="00755613" w:rsidRDefault="00755613" w:rsidP="0079410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 w:rsidRPr="00755613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601.625.930,55</w:t>
            </w:r>
          </w:p>
        </w:tc>
      </w:tr>
    </w:tbl>
    <w:p w14:paraId="490E272F" w14:textId="30D52AD1" w:rsidR="0021204D" w:rsidRPr="00FE0DD3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Удио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конзорција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вриједносно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смањује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20,84%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11,89%),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али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7D043B7" w14:textId="3C662535" w:rsidR="005168F2" w:rsidRPr="00FE0DD3" w:rsidRDefault="005E4D1F" w:rsidP="005168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Иако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структура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мијења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то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значи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долази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веће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дисперзије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конкуренције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Дио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великих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уговора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прелази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друге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облике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попут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појединачних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носилаца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преговарачких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без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објаве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ПБО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или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оквирних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споразума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што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формално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мијења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дистрибуцију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али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стварну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ширину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базе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учесника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Концентрација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секторима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остаје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изразито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висока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посебно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радовима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комуналним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услугама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здравственом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сектору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гдје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свега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неколико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доминантних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добављача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држи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кључне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тржишне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позиције</w:t>
      </w:r>
      <w:r w:rsidR="005168F2" w:rsidRPr="00FE0D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BC2B11B" w14:textId="4CDC1F1F" w:rsidR="005168F2" w:rsidRPr="005168F2" w:rsidRDefault="005E4D1F" w:rsidP="005168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Импликације</w:t>
      </w:r>
      <w:r w:rsidR="005168F2" w:rsidRPr="005168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47110265" w14:textId="1F957020" w:rsidR="005168F2" w:rsidRPr="005168F2" w:rsidRDefault="005E4D1F" w:rsidP="00747F8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тржиште</w:t>
      </w:r>
      <w:r w:rsidR="005168F2"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не</w:t>
      </w:r>
      <w:r w:rsidR="005168F2"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постаје</w:t>
      </w:r>
      <w:r w:rsidR="005168F2"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конкурентније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већ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доминантне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позиције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само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премјештају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различите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процедуралне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форме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7295AF42" w14:textId="3D69BAA8" w:rsidR="005168F2" w:rsidRPr="005168F2" w:rsidRDefault="005E4D1F" w:rsidP="00747F8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велики</w:t>
      </w:r>
      <w:r w:rsidR="005168F2"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уговори</w:t>
      </w:r>
      <w:r w:rsidR="005168F2"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излазе</w:t>
      </w:r>
      <w:r w:rsidR="005168F2"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из</w:t>
      </w:r>
      <w:r w:rsidR="005168F2"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конкурентских</w:t>
      </w:r>
      <w:r w:rsidR="005168F2"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процедура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чиме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смањује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транспарентност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могућност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тржишног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надметања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73717D9F" w14:textId="002258AD" w:rsidR="005168F2" w:rsidRPr="005168F2" w:rsidRDefault="005E4D1F" w:rsidP="00747F8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секторска</w:t>
      </w:r>
      <w:r w:rsidR="005168F2"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концентрација</w:t>
      </w:r>
      <w:r w:rsidR="005168F2"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остаје</w:t>
      </w:r>
      <w:r w:rsidR="005168F2"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структурни</w:t>
      </w:r>
      <w:r w:rsidR="005168F2"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проблем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посебно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областима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високих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вриједности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специјализираних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услуга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63ED2655" w14:textId="3EC392BD" w:rsidR="005168F2" w:rsidRPr="005168F2" w:rsidRDefault="005E4D1F" w:rsidP="00747F8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ризик</w:t>
      </w:r>
      <w:r w:rsidR="005168F2"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од</w:t>
      </w:r>
      <w:r w:rsidR="005168F2"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дугорочног</w:t>
      </w:r>
      <w:r w:rsidR="005168F2"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"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закључавања</w:t>
      </w:r>
      <w:r w:rsidR="005168F2"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тржишта</w:t>
      </w:r>
      <w:r w:rsidR="005168F2"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"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расте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јер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нови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понуђачи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тешко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укључују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устаљене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токове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набавки</w:t>
      </w:r>
      <w:r w:rsidR="005168F2" w:rsidRPr="005168F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F97D30F" w14:textId="710EFF58" w:rsidR="0021204D" w:rsidRPr="0021204D" w:rsidRDefault="0021204D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88CBFA" w14:textId="2E8CF752" w:rsidR="0021204D" w:rsidRPr="00FE0DD3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3.6.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Поништавање</w:t>
      </w: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поступака</w:t>
      </w: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(2023)</w:t>
      </w:r>
    </w:p>
    <w:p w14:paraId="21061462" w14:textId="3A4EF500" w:rsidR="0021204D" w:rsidRPr="00FE0DD3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Разлози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понављају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као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2022,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али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већим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интензитетом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148AFEC" w14:textId="1276C6B8" w:rsidR="0021204D" w:rsidRPr="00FE0DD3" w:rsidRDefault="005E4D1F" w:rsidP="00747F8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нема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или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неприхватљиве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све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чешће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C91ACAD" w14:textId="6B505266" w:rsidR="0021204D" w:rsidRPr="00FE0DD3" w:rsidRDefault="005E4D1F" w:rsidP="00747F8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раст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инфлација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доводи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превазилажења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буџета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B9A4EAD" w14:textId="607AC301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Ефекат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на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конкуренцију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49C92262" w14:textId="521A1D43" w:rsidR="0021204D" w:rsidRPr="00FE0DD3" w:rsidRDefault="005E4D1F" w:rsidP="00747F8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понављање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додатно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смањује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интерес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32172C0" w14:textId="0F6000E5" w:rsidR="0021204D" w:rsidRPr="00FE0DD3" w:rsidRDefault="005E4D1F" w:rsidP="00FE64D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ризик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нови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има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још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мање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53C1A73" w14:textId="3535937F" w:rsidR="0021204D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3.7.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Додатни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фактори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(2023)</w:t>
      </w:r>
    </w:p>
    <w:p w14:paraId="2E69FDF0" w14:textId="3BF6D9C3" w:rsidR="005903EF" w:rsidRPr="005903EF" w:rsidRDefault="005E4D1F" w:rsidP="00747F81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е</w:t>
      </w:r>
      <w:r w:rsidR="005903EF" w:rsidRPr="005903E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аукције</w:t>
      </w:r>
      <w:r w:rsidR="005903EF" w:rsidRPr="005903EF">
        <w:rPr>
          <w:lang w:val="pt-BR"/>
        </w:rPr>
        <w:t xml:space="preserve"> </w:t>
      </w:r>
    </w:p>
    <w:p w14:paraId="07B2B702" w14:textId="3851F5CD" w:rsidR="00C369BB" w:rsidRPr="005903EF" w:rsidRDefault="005E4D1F" w:rsidP="005903EF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>
        <w:rPr>
          <w:rFonts w:ascii="Times New Roman" w:hAnsi="Times New Roman" w:cs="Times New Roman"/>
          <w:lang w:val="pt-BR"/>
        </w:rPr>
        <w:lastRenderedPageBreak/>
        <w:t>У</w:t>
      </w:r>
      <w:r w:rsidR="00C369BB" w:rsidRPr="005903EF">
        <w:rPr>
          <w:rFonts w:ascii="Times New Roman" w:hAnsi="Times New Roman" w:cs="Times New Roman"/>
          <w:lang w:val="pt-BR"/>
        </w:rPr>
        <w:t xml:space="preserve"> 2023. </w:t>
      </w:r>
      <w:r>
        <w:rPr>
          <w:rFonts w:ascii="Times New Roman" w:hAnsi="Times New Roman" w:cs="Times New Roman"/>
          <w:lang w:val="pt-BR"/>
        </w:rPr>
        <w:t>години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проведено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C369BB" w:rsidRPr="005903EF">
        <w:rPr>
          <w:rFonts w:ascii="Times New Roman" w:hAnsi="Times New Roman" w:cs="Times New Roman"/>
          <w:lang w:val="pt-BR"/>
        </w:rPr>
        <w:t xml:space="preserve"> 13.123 </w:t>
      </w:r>
      <w:r>
        <w:rPr>
          <w:rFonts w:ascii="Times New Roman" w:hAnsi="Times New Roman" w:cs="Times New Roman"/>
          <w:lang w:val="pt-BR"/>
        </w:rPr>
        <w:t>е</w:t>
      </w:r>
      <w:r w:rsidR="00C369BB" w:rsidRPr="005903EF">
        <w:rPr>
          <w:rFonts w:ascii="Times New Roman" w:hAnsi="Times New Roman" w:cs="Times New Roman"/>
          <w:lang w:val="pt-BR"/>
        </w:rPr>
        <w:t>-</w:t>
      </w:r>
      <w:r>
        <w:rPr>
          <w:rFonts w:ascii="Times New Roman" w:hAnsi="Times New Roman" w:cs="Times New Roman"/>
          <w:lang w:val="pt-BR"/>
        </w:rPr>
        <w:t>аукција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које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су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резултирале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са</w:t>
      </w:r>
      <w:r w:rsidR="00C369BB" w:rsidRPr="005903EF">
        <w:rPr>
          <w:rFonts w:ascii="Times New Roman" w:hAnsi="Times New Roman" w:cs="Times New Roman"/>
          <w:lang w:val="pt-BR"/>
        </w:rPr>
        <w:t xml:space="preserve"> 12.543 </w:t>
      </w:r>
      <w:r>
        <w:rPr>
          <w:rFonts w:ascii="Times New Roman" w:hAnsi="Times New Roman" w:cs="Times New Roman"/>
          <w:lang w:val="pt-BR"/>
        </w:rPr>
        <w:t>уговора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укупном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уштедом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од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око</w:t>
      </w:r>
      <w:r w:rsidR="00C369BB" w:rsidRPr="005903EF">
        <w:rPr>
          <w:rFonts w:ascii="Times New Roman" w:hAnsi="Times New Roman" w:cs="Times New Roman"/>
          <w:lang w:val="pt-BR"/>
        </w:rPr>
        <w:t xml:space="preserve"> 106 </w:t>
      </w:r>
      <w:r>
        <w:rPr>
          <w:rFonts w:ascii="Times New Roman" w:hAnsi="Times New Roman" w:cs="Times New Roman"/>
          <w:lang w:val="pt-BR"/>
        </w:rPr>
        <w:t>милиона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КМ</w:t>
      </w:r>
      <w:r w:rsidR="00C369BB" w:rsidRPr="005903EF">
        <w:rPr>
          <w:rFonts w:ascii="Times New Roman" w:hAnsi="Times New Roman" w:cs="Times New Roman"/>
          <w:lang w:val="pt-BR"/>
        </w:rPr>
        <w:t xml:space="preserve">. </w:t>
      </w:r>
      <w:r>
        <w:rPr>
          <w:rFonts w:ascii="Times New Roman" w:hAnsi="Times New Roman" w:cs="Times New Roman"/>
          <w:lang w:val="pt-BR"/>
        </w:rPr>
        <w:t>Иако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број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аукција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готово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идентичан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као</w:t>
      </w:r>
      <w:r w:rsidR="00C369BB" w:rsidRPr="005903EF">
        <w:rPr>
          <w:rFonts w:ascii="Times New Roman" w:hAnsi="Times New Roman" w:cs="Times New Roman"/>
          <w:lang w:val="pt-BR"/>
        </w:rPr>
        <w:t xml:space="preserve"> 2022, </w:t>
      </w:r>
      <w:r>
        <w:rPr>
          <w:rFonts w:ascii="Times New Roman" w:hAnsi="Times New Roman" w:cs="Times New Roman"/>
          <w:lang w:val="pt-BR"/>
        </w:rPr>
        <w:t>остварене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уштеде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су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ниже</w:t>
      </w:r>
      <w:r w:rsidR="00C369BB" w:rsidRPr="005903EF">
        <w:rPr>
          <w:rFonts w:ascii="Times New Roman" w:hAnsi="Times New Roman" w:cs="Times New Roman"/>
          <w:lang w:val="pt-BR"/>
        </w:rPr>
        <w:t xml:space="preserve">. </w:t>
      </w:r>
      <w:r>
        <w:rPr>
          <w:rFonts w:ascii="Times New Roman" w:hAnsi="Times New Roman" w:cs="Times New Roman"/>
          <w:lang w:val="pt-BR"/>
        </w:rPr>
        <w:t>То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сигнал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да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Style w:val="Strong"/>
          <w:rFonts w:ascii="Times New Roman" w:hAnsi="Times New Roman" w:cs="Times New Roman"/>
          <w:lang w:val="pt-BR"/>
        </w:rPr>
        <w:t>базна</w:t>
      </w:r>
      <w:r w:rsidR="00C369BB" w:rsidRPr="005903EF">
        <w:rPr>
          <w:rStyle w:val="Strong"/>
          <w:rFonts w:ascii="Times New Roman" w:hAnsi="Times New Roman" w:cs="Times New Roman"/>
          <w:lang w:val="pt-BR"/>
        </w:rPr>
        <w:t xml:space="preserve"> </w:t>
      </w:r>
      <w:r>
        <w:rPr>
          <w:rStyle w:val="Strong"/>
          <w:rFonts w:ascii="Times New Roman" w:hAnsi="Times New Roman" w:cs="Times New Roman"/>
          <w:lang w:val="pt-BR"/>
        </w:rPr>
        <w:t>конкуренција</w:t>
      </w:r>
      <w:r w:rsidR="00C369BB" w:rsidRPr="005903EF">
        <w:rPr>
          <w:rStyle w:val="Strong"/>
          <w:rFonts w:ascii="Times New Roman" w:hAnsi="Times New Roman" w:cs="Times New Roman"/>
          <w:lang w:val="pt-BR"/>
        </w:rPr>
        <w:t xml:space="preserve"> </w:t>
      </w:r>
      <w:r>
        <w:rPr>
          <w:rStyle w:val="Strong"/>
          <w:rFonts w:ascii="Times New Roman" w:hAnsi="Times New Roman" w:cs="Times New Roman"/>
          <w:lang w:val="pt-BR"/>
        </w:rPr>
        <w:t>ослабила</w:t>
      </w:r>
      <w:r w:rsidR="00C369BB" w:rsidRPr="005903EF">
        <w:rPr>
          <w:rFonts w:ascii="Times New Roman" w:hAnsi="Times New Roman" w:cs="Times New Roman"/>
          <w:lang w:val="pt-BR"/>
        </w:rPr>
        <w:t xml:space="preserve">: </w:t>
      </w:r>
      <w:r>
        <w:rPr>
          <w:rFonts w:ascii="Times New Roman" w:hAnsi="Times New Roman" w:cs="Times New Roman"/>
          <w:lang w:val="pt-BR"/>
        </w:rPr>
        <w:t>смањење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броја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учесника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директно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умањује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потенцијал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аукције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да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генерише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снижавање</w:t>
      </w:r>
      <w:r w:rsidR="00C369BB" w:rsidRPr="005903E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цијена</w:t>
      </w:r>
      <w:r w:rsidR="00C369BB" w:rsidRPr="005903EF">
        <w:rPr>
          <w:rFonts w:ascii="Times New Roman" w:hAnsi="Times New Roman" w:cs="Times New Roman"/>
          <w:lang w:val="pt-BR"/>
        </w:rPr>
        <w:t>.</w:t>
      </w:r>
    </w:p>
    <w:p w14:paraId="795EE12B" w14:textId="68C84644" w:rsidR="0021204D" w:rsidRPr="00E274AC" w:rsidRDefault="005E4D1F" w:rsidP="00747F8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Оквирни</w:t>
      </w:r>
      <w:r w:rsidR="0021204D" w:rsidRPr="00E274A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споразуми</w:t>
      </w:r>
      <w:r w:rsidR="0021204D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: 1.154.951.750,34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КМ</w:t>
      </w:r>
      <w:r w:rsidR="0021204D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– ≈ 26,59%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21204D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FE64DA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Поглавља I и V</w:t>
      </w:r>
      <w:r w:rsidR="0021204D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≈ 22,82%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свих</w:t>
      </w:r>
      <w:r w:rsidR="0021204D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уговора</w:t>
      </w:r>
      <w:r w:rsidR="0021204D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47F12E00" w14:textId="76437C33" w:rsidR="0021204D" w:rsidRPr="0021204D" w:rsidRDefault="005E4D1F" w:rsidP="00747F81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оквирни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споразуми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постају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још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важнији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инструмент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0A7E87C0" w14:textId="2FD9F21A" w:rsidR="0021204D" w:rsidRPr="0021204D" w:rsidRDefault="005E4D1F" w:rsidP="00747F8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Заједничке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набавке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: 7.003.071,31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КМ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(0,14%)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још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мањи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удио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него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2022.</w:t>
      </w:r>
    </w:p>
    <w:p w14:paraId="332A8ABF" w14:textId="7B2830D1" w:rsidR="0021204D" w:rsidRPr="0021204D" w:rsidRDefault="005E4D1F" w:rsidP="00747F81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централизација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даље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нема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системски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ефекат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02198B7F" w14:textId="42E109C1" w:rsidR="0021204D" w:rsidRPr="00FE0DD3" w:rsidRDefault="0021204D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</w:p>
    <w:p w14:paraId="29092CE7" w14:textId="1D832A58" w:rsidR="0021204D" w:rsidRPr="00FE0DD3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3.8.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Кључни</w:t>
      </w: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налаз</w:t>
      </w: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за</w:t>
      </w:r>
      <w:r w:rsidRPr="00FE0D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2023.</w:t>
      </w:r>
    </w:p>
    <w:p w14:paraId="2EB60EA3" w14:textId="6BF8CD18" w:rsidR="0021204D" w:rsidRPr="00C44EF3" w:rsidRDefault="005E4D1F" w:rsidP="00C44E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hAnsi="Times New Roman" w:cs="Times New Roman"/>
        </w:rPr>
        <w:t>Година</w:t>
      </w:r>
      <w:r w:rsidR="00C44EF3" w:rsidRPr="00FE0DD3">
        <w:rPr>
          <w:rFonts w:ascii="Times New Roman" w:hAnsi="Times New Roman" w:cs="Times New Roman"/>
          <w:lang w:val="pt-BR"/>
        </w:rPr>
        <w:t xml:space="preserve"> 2023. </w:t>
      </w:r>
      <w:r>
        <w:rPr>
          <w:rFonts w:ascii="Times New Roman" w:hAnsi="Times New Roman" w:cs="Times New Roman"/>
        </w:rPr>
        <w:t>показује</w:t>
      </w:r>
      <w:r w:rsidR="00C44EF3" w:rsidRPr="00FE0DD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</w:rPr>
        <w:t>најнижи</w:t>
      </w:r>
      <w:r w:rsidR="00C44EF3" w:rsidRPr="00FE0DD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</w:rPr>
        <w:t>ниво</w:t>
      </w:r>
      <w:r w:rsidR="00C44EF3" w:rsidRPr="00FE0DD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</w:rPr>
        <w:t>конкуренције</w:t>
      </w:r>
      <w:r w:rsidR="00C44EF3" w:rsidRPr="00FE0DD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</w:rPr>
        <w:t>у</w:t>
      </w:r>
      <w:r w:rsidR="00C44EF3" w:rsidRPr="00FE0DD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</w:rPr>
        <w:t>посљедњих</w:t>
      </w:r>
      <w:r w:rsidR="00C44EF3" w:rsidRPr="00FE0DD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</w:rPr>
        <w:t>неколико</w:t>
      </w:r>
      <w:r w:rsidR="00C44EF3" w:rsidRPr="00FE0DD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</w:rPr>
        <w:t>година</w:t>
      </w:r>
      <w:r w:rsidR="00C44EF3" w:rsidRPr="00FE0DD3">
        <w:rPr>
          <w:rFonts w:ascii="Times New Roman" w:hAnsi="Times New Roman" w:cs="Times New Roman"/>
          <w:lang w:val="pt-BR"/>
        </w:rPr>
        <w:t xml:space="preserve">. </w:t>
      </w:r>
      <w:r>
        <w:rPr>
          <w:rFonts w:ascii="Times New Roman" w:hAnsi="Times New Roman" w:cs="Times New Roman"/>
          <w:lang w:val="pt-BR"/>
        </w:rPr>
        <w:t>Просјечан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број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понуда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пада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на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рекордно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ниских</w:t>
      </w:r>
      <w:r w:rsidR="00C44EF3" w:rsidRPr="00C44EF3">
        <w:rPr>
          <w:rFonts w:ascii="Times New Roman" w:hAnsi="Times New Roman" w:cs="Times New Roman"/>
          <w:lang w:val="pt-BR"/>
        </w:rPr>
        <w:t xml:space="preserve"> 1,62, </w:t>
      </w:r>
      <w:r>
        <w:rPr>
          <w:rFonts w:ascii="Times New Roman" w:hAnsi="Times New Roman" w:cs="Times New Roman"/>
          <w:lang w:val="pt-BR"/>
        </w:rPr>
        <w:t>док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се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удио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сингле</w:t>
      </w:r>
      <w:r w:rsidR="00C44EF3" w:rsidRPr="00C44EF3">
        <w:rPr>
          <w:rFonts w:ascii="Times New Roman" w:hAnsi="Times New Roman" w:cs="Times New Roman"/>
          <w:lang w:val="pt-BR"/>
        </w:rPr>
        <w:t>-</w:t>
      </w:r>
      <w:r>
        <w:rPr>
          <w:rFonts w:ascii="Times New Roman" w:hAnsi="Times New Roman" w:cs="Times New Roman"/>
          <w:lang w:val="pt-BR"/>
        </w:rPr>
        <w:t>бид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поступака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додатно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повећава</w:t>
      </w:r>
      <w:r w:rsidR="00C44EF3" w:rsidRPr="00C44EF3">
        <w:rPr>
          <w:rFonts w:ascii="Times New Roman" w:hAnsi="Times New Roman" w:cs="Times New Roman"/>
          <w:lang w:val="pt-BR"/>
        </w:rPr>
        <w:t xml:space="preserve">. </w:t>
      </w:r>
      <w:r>
        <w:rPr>
          <w:rFonts w:ascii="Times New Roman" w:hAnsi="Times New Roman" w:cs="Times New Roman"/>
          <w:lang w:val="pt-BR"/>
        </w:rPr>
        <w:t>Истовремено</w:t>
      </w:r>
      <w:r w:rsidR="00C44EF3" w:rsidRPr="00C44EF3">
        <w:rPr>
          <w:rFonts w:ascii="Times New Roman" w:hAnsi="Times New Roman" w:cs="Times New Roman"/>
          <w:lang w:val="pt-BR"/>
        </w:rPr>
        <w:t xml:space="preserve">, </w:t>
      </w:r>
      <w:r>
        <w:rPr>
          <w:rFonts w:ascii="Times New Roman" w:hAnsi="Times New Roman" w:cs="Times New Roman"/>
          <w:lang w:val="pt-BR"/>
        </w:rPr>
        <w:t>у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оба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ентитета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биљежи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се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снажна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употреба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преговарачких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поступака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без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објаве</w:t>
      </w:r>
      <w:r w:rsidR="00C44EF3" w:rsidRPr="00C44EF3">
        <w:rPr>
          <w:rFonts w:ascii="Times New Roman" w:hAnsi="Times New Roman" w:cs="Times New Roman"/>
          <w:lang w:val="pt-BR"/>
        </w:rPr>
        <w:t xml:space="preserve">, </w:t>
      </w:r>
      <w:r>
        <w:rPr>
          <w:rFonts w:ascii="Times New Roman" w:hAnsi="Times New Roman" w:cs="Times New Roman"/>
          <w:lang w:val="pt-BR"/>
        </w:rPr>
        <w:t>што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додатно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смањује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тржишно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такмичење</w:t>
      </w:r>
      <w:r w:rsidR="00C44EF3" w:rsidRPr="00C44EF3">
        <w:rPr>
          <w:rFonts w:ascii="Times New Roman" w:hAnsi="Times New Roman" w:cs="Times New Roman"/>
          <w:lang w:val="pt-BR"/>
        </w:rPr>
        <w:t xml:space="preserve">. </w:t>
      </w:r>
      <w:r>
        <w:rPr>
          <w:rFonts w:ascii="Times New Roman" w:hAnsi="Times New Roman" w:cs="Times New Roman"/>
          <w:lang w:val="pt-BR"/>
        </w:rPr>
        <w:t>Оквирни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споразуми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преузимају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велики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дио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тржишта</w:t>
      </w:r>
      <w:r w:rsidR="00C44EF3" w:rsidRPr="00C44EF3">
        <w:rPr>
          <w:rFonts w:ascii="Times New Roman" w:hAnsi="Times New Roman" w:cs="Times New Roman"/>
          <w:lang w:val="pt-BR"/>
        </w:rPr>
        <w:t xml:space="preserve">, </w:t>
      </w:r>
      <w:r>
        <w:rPr>
          <w:rFonts w:ascii="Times New Roman" w:hAnsi="Times New Roman" w:cs="Times New Roman"/>
          <w:lang w:val="pt-BR"/>
        </w:rPr>
        <w:t>док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обим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централизираних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набавки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даље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занемарив</w:t>
      </w:r>
      <w:r w:rsidR="00C44EF3" w:rsidRPr="00C44EF3">
        <w:rPr>
          <w:rFonts w:ascii="Times New Roman" w:hAnsi="Times New Roman" w:cs="Times New Roman"/>
          <w:lang w:val="pt-BR"/>
        </w:rPr>
        <w:t xml:space="preserve">, </w:t>
      </w:r>
      <w:r>
        <w:rPr>
          <w:rFonts w:ascii="Times New Roman" w:hAnsi="Times New Roman" w:cs="Times New Roman"/>
          <w:lang w:val="pt-BR"/>
        </w:rPr>
        <w:t>без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мјерљивог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ефекта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на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конкуренцију</w:t>
      </w:r>
      <w:r w:rsidR="00C44EF3" w:rsidRPr="00C44EF3">
        <w:rPr>
          <w:rFonts w:ascii="Times New Roman" w:hAnsi="Times New Roman" w:cs="Times New Roman"/>
          <w:lang w:val="pt-BR"/>
        </w:rPr>
        <w:t xml:space="preserve">. </w:t>
      </w:r>
      <w:r>
        <w:rPr>
          <w:rFonts w:ascii="Times New Roman" w:hAnsi="Times New Roman" w:cs="Times New Roman"/>
          <w:lang w:val="pt-BR"/>
        </w:rPr>
        <w:t>Све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ове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тенденције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указују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да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C44EF3" w:rsidRPr="00C44EF3">
        <w:rPr>
          <w:rFonts w:ascii="Times New Roman" w:hAnsi="Times New Roman" w:cs="Times New Roman"/>
          <w:lang w:val="pt-BR"/>
        </w:rPr>
        <w:t xml:space="preserve"> 2023. </w:t>
      </w:r>
      <w:r>
        <w:rPr>
          <w:rFonts w:ascii="Times New Roman" w:hAnsi="Times New Roman" w:cs="Times New Roman"/>
          <w:lang w:val="pt-BR"/>
        </w:rPr>
        <w:t>година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обиљежена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структурним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слабљењем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тржишне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динамике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системским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падом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конкурентског</w:t>
      </w:r>
      <w:r w:rsidR="00C44EF3" w:rsidRPr="00C44EF3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притиска</w:t>
      </w:r>
      <w:r w:rsidR="00C44EF3" w:rsidRPr="00C44EF3">
        <w:rPr>
          <w:lang w:val="pt-BR"/>
        </w:rPr>
        <w:t>.</w:t>
      </w:r>
    </w:p>
    <w:p w14:paraId="195C4395" w14:textId="0AE11D1E" w:rsidR="0021204D" w:rsidRPr="0021204D" w:rsidRDefault="0021204D" w:rsidP="002120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</w:pPr>
      <w:r w:rsidRPr="005233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 xml:space="preserve">4. </w:t>
      </w:r>
      <w:r w:rsidR="005E4D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>Конкуренција</w:t>
      </w:r>
      <w:r w:rsidRPr="005233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>у</w:t>
      </w:r>
      <w:r w:rsidRPr="005233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 xml:space="preserve"> 2024. </w:t>
      </w:r>
      <w:r w:rsidR="005E4D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>години</w:t>
      </w:r>
    </w:p>
    <w:p w14:paraId="03995FBC" w14:textId="73652EA4" w:rsidR="0021204D" w:rsidRPr="005233A7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 w:rsidRPr="005233A7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4.1.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Број</w:t>
      </w:r>
      <w:r w:rsidRPr="005233A7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Pr="005233A7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структура</w:t>
      </w:r>
      <w:r w:rsidRPr="005233A7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понуда</w:t>
      </w:r>
    </w:p>
    <w:p w14:paraId="2DFA500B" w14:textId="79BFCBD8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2024.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години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долази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благог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опоравка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76DD77EE" w14:textId="324CFA12" w:rsidR="0021204D" w:rsidRPr="0021204D" w:rsidRDefault="005E4D1F" w:rsidP="00747F8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просјечан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број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примљених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понуда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1,75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294EDFAC" w14:textId="13BA2CE2" w:rsidR="0021204D" w:rsidRDefault="005E4D1F" w:rsidP="00747F8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просјечан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број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прихватљивих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1,61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C70E808" w14:textId="32823F18" w:rsidR="00C2051F" w:rsidRPr="0021204D" w:rsidRDefault="00C2051F" w:rsidP="00C20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w:lastRenderedPageBreak/>
        <w:drawing>
          <wp:inline distT="0" distB="0" distL="0" distR="0" wp14:anchorId="49BB3A6F" wp14:editId="434D5562">
            <wp:extent cx="5943600" cy="2566035"/>
            <wp:effectExtent l="0" t="0" r="0" b="5715"/>
            <wp:docPr id="180274828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1FE6768-379F-B0B9-057F-5A1FFF991B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1E786DA" w14:textId="246AC963" w:rsidR="0021204D" w:rsidRPr="00FE0DD3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То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даље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испод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минималног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пожељног</w:t>
      </w:r>
      <w:r w:rsidR="0021204D" w:rsidRPr="00FE0D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нивоа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али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боље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него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FE0DD3">
        <w:rPr>
          <w:rFonts w:ascii="Times New Roman" w:eastAsia="Times New Roman" w:hAnsi="Times New Roman" w:cs="Times New Roman"/>
          <w:kern w:val="0"/>
          <w14:ligatures w14:val="none"/>
        </w:rPr>
        <w:t xml:space="preserve"> 2023.</w:t>
      </w:r>
    </w:p>
    <w:p w14:paraId="3A2D29F8" w14:textId="3BA5B98E" w:rsidR="0021204D" w:rsidRPr="0021204D" w:rsidRDefault="005E4D1F" w:rsidP="00212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) </w:t>
      </w:r>
      <w:r w:rsidR="00FE64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Поглавље I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(2024)</w:t>
      </w:r>
    </w:p>
    <w:p w14:paraId="71AFE196" w14:textId="1CEE6949" w:rsidR="0021204D" w:rsidRPr="0021204D" w:rsidRDefault="005E4D1F" w:rsidP="00747F8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вриједност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4.189.815.561,26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КМ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(≈ 82,01%),</w:t>
      </w:r>
    </w:p>
    <w:p w14:paraId="036E372D" w14:textId="6FD0F54C" w:rsidR="0021204D" w:rsidRPr="00C2051F" w:rsidRDefault="005E4D1F" w:rsidP="00747F8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број</w:t>
      </w:r>
      <w:r w:rsidR="0021204D" w:rsidRPr="00C205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уговора</w:t>
      </w:r>
      <w:r w:rsidR="0021204D" w:rsidRPr="00C2051F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21204D" w:rsidRPr="00C20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73.126 (26,76%)</w:t>
      </w:r>
      <w:r w:rsidR="0021204D" w:rsidRPr="00C2051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tbl>
      <w:tblPr>
        <w:tblW w:w="9270" w:type="dxa"/>
        <w:tblInd w:w="-10" w:type="dxa"/>
        <w:tblLook w:val="04A0" w:firstRow="1" w:lastRow="0" w:firstColumn="1" w:lastColumn="0" w:noHBand="0" w:noVBand="1"/>
      </w:tblPr>
      <w:tblGrid>
        <w:gridCol w:w="957"/>
        <w:gridCol w:w="2595"/>
        <w:gridCol w:w="1716"/>
        <w:gridCol w:w="1899"/>
        <w:gridCol w:w="2103"/>
      </w:tblGrid>
      <w:tr w:rsidR="00C2051F" w:rsidRPr="00C2051F" w14:paraId="799D36C0" w14:textId="77777777" w:rsidTr="00794102">
        <w:trPr>
          <w:trHeight w:val="645"/>
        </w:trPr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D8218A8" w14:textId="77777777" w:rsidR="00C2051F" w:rsidRPr="00C2051F" w:rsidRDefault="00C2051F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2F8D640" w14:textId="3C2DD001" w:rsidR="00C2051F" w:rsidRPr="00C2051F" w:rsidRDefault="00FE64DA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Поглавље I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6F401A55" w14:textId="5C9D171C" w:rsidR="00C2051F" w:rsidRPr="00C2051F" w:rsidRDefault="00FE64DA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Поглавље V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093F1ADB" w14:textId="55CCE506" w:rsidR="00C2051F" w:rsidRPr="00C2051F" w:rsidRDefault="00FE64DA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Анекс II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4F5ED4B" w14:textId="6B8EBE09" w:rsidR="00C2051F" w:rsidRPr="00C2051F" w:rsidRDefault="005E4D1F" w:rsidP="007941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Укупно</w:t>
            </w:r>
            <w:r w:rsidR="00C2051F" w:rsidRPr="00C205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</w:tr>
      <w:tr w:rsidR="00C2051F" w:rsidRPr="00C2051F" w14:paraId="17843F84" w14:textId="77777777" w:rsidTr="00794102">
        <w:trPr>
          <w:trHeight w:val="64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F4A6228" w14:textId="19FB3915" w:rsidR="00C2051F" w:rsidRPr="00C2051F" w:rsidRDefault="005E4D1F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КМ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3A45C7F" w14:textId="77777777" w:rsidR="00C2051F" w:rsidRPr="00C2051F" w:rsidRDefault="00C2051F" w:rsidP="007941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4.189.815.561,26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37D1DF2" w14:textId="77777777" w:rsidR="00C2051F" w:rsidRPr="00C2051F" w:rsidRDefault="00C2051F" w:rsidP="007941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355.878.648,84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F2B465" w14:textId="77777777" w:rsidR="00C2051F" w:rsidRPr="00C2051F" w:rsidRDefault="00C2051F" w:rsidP="007941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563.048.155,53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6FF343F" w14:textId="77777777" w:rsidR="00C2051F" w:rsidRPr="00C2051F" w:rsidRDefault="00C2051F" w:rsidP="007941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5.108.742.365,63</w:t>
            </w:r>
          </w:p>
        </w:tc>
      </w:tr>
      <w:tr w:rsidR="00C2051F" w:rsidRPr="00C2051F" w14:paraId="6124D706" w14:textId="77777777" w:rsidTr="00794102">
        <w:trPr>
          <w:trHeight w:val="540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56147" w14:textId="77777777" w:rsidR="00C2051F" w:rsidRPr="00C2051F" w:rsidRDefault="00C2051F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F1AEB7" w14:textId="77777777" w:rsidR="00C2051F" w:rsidRPr="00C2051F" w:rsidRDefault="00C2051F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sz w:val="18"/>
                <w:szCs w:val="18"/>
              </w:rPr>
              <w:t>82.01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C89F15" w14:textId="77777777" w:rsidR="00C2051F" w:rsidRPr="00C2051F" w:rsidRDefault="00C2051F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sz w:val="18"/>
                <w:szCs w:val="18"/>
              </w:rPr>
              <w:t>6.97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8BEB74" w14:textId="77777777" w:rsidR="00C2051F" w:rsidRPr="00C2051F" w:rsidRDefault="00C2051F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sz w:val="18"/>
                <w:szCs w:val="18"/>
              </w:rPr>
              <w:t>11.02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D4A0AC" w14:textId="77777777" w:rsidR="00C2051F" w:rsidRPr="00C2051F" w:rsidRDefault="00C2051F" w:rsidP="007941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</w:tbl>
    <w:p w14:paraId="4E19C407" w14:textId="3CF98773" w:rsidR="00C2051F" w:rsidRPr="0021204D" w:rsidRDefault="00C2051F" w:rsidP="00C20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w:drawing>
          <wp:inline distT="0" distB="0" distL="0" distR="0" wp14:anchorId="4BCE1C7F" wp14:editId="269AD10C">
            <wp:extent cx="5881370" cy="2544417"/>
            <wp:effectExtent l="0" t="0" r="5080" b="8890"/>
            <wp:docPr id="54097293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C6CCEBB-BF7A-96BF-5C25-330D8B72B2A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960"/>
        <w:gridCol w:w="3520"/>
        <w:gridCol w:w="1920"/>
        <w:gridCol w:w="1760"/>
        <w:gridCol w:w="1186"/>
      </w:tblGrid>
      <w:tr w:rsidR="00C2051F" w:rsidRPr="00DD2344" w14:paraId="08E5E1EC" w14:textId="77777777" w:rsidTr="00794102">
        <w:trPr>
          <w:trHeight w:val="330"/>
        </w:trPr>
        <w:tc>
          <w:tcPr>
            <w:tcW w:w="93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B34852C" w14:textId="2B2D568E" w:rsidR="00C2051F" w:rsidRPr="00C2051F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Укупни</w:t>
            </w:r>
            <w:r w:rsidR="00C2051F" w:rsidRPr="00C205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број</w:t>
            </w:r>
            <w:r w:rsidR="00C2051F" w:rsidRPr="00C205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закључених</w:t>
            </w:r>
            <w:r w:rsidR="00C2051F" w:rsidRPr="00C205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2051F" w:rsidRPr="00C205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додијељених</w:t>
            </w:r>
            <w:r w:rsidR="00C2051F" w:rsidRPr="00C205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уговора</w:t>
            </w:r>
            <w:r w:rsidR="00C2051F" w:rsidRPr="00C205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C2051F" w:rsidRPr="00C2051F">
              <w:rPr>
                <w:rFonts w:ascii="Times New Roman" w:hAnsi="Times New Roman" w:cs="Times New Roman"/>
                <w:sz w:val="18"/>
                <w:szCs w:val="18"/>
              </w:rPr>
              <w:t xml:space="preserve"> 2024.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години</w:t>
            </w:r>
          </w:p>
        </w:tc>
      </w:tr>
      <w:tr w:rsidR="00C2051F" w:rsidRPr="00DD2344" w14:paraId="1AD0FEF4" w14:textId="77777777" w:rsidTr="00794102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618D4A7" w14:textId="77777777" w:rsidR="00C2051F" w:rsidRPr="00C2051F" w:rsidRDefault="00C205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1A2F42B" w14:textId="3EE20E1D" w:rsidR="00C2051F" w:rsidRPr="00C2051F" w:rsidRDefault="00FE64DA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Поглавље 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37DE5DE" w14:textId="53ABE080" w:rsidR="00C2051F" w:rsidRPr="00C2051F" w:rsidRDefault="00FE64DA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Поглавље V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FE86418" w14:textId="766C163C" w:rsidR="00C2051F" w:rsidRPr="00C2051F" w:rsidRDefault="00FE64DA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Анекс II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154BC85" w14:textId="611D6E99" w:rsidR="00C2051F" w:rsidRPr="00C2051F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Укупно</w:t>
            </w:r>
          </w:p>
        </w:tc>
      </w:tr>
      <w:tr w:rsidR="00C2051F" w14:paraId="73761470" w14:textId="77777777" w:rsidTr="00794102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ED198CD" w14:textId="0CBE7490" w:rsidR="00C2051F" w:rsidRPr="00C2051F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9DFD939" w14:textId="77777777" w:rsidR="00C2051F" w:rsidRPr="00C2051F" w:rsidRDefault="00C2051F" w:rsidP="007941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73.126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B9D3701" w14:textId="77777777" w:rsidR="00C2051F" w:rsidRPr="00C2051F" w:rsidRDefault="00C2051F" w:rsidP="007941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173.583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953C5EE" w14:textId="77777777" w:rsidR="00C2051F" w:rsidRPr="00C2051F" w:rsidRDefault="00C2051F" w:rsidP="007941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26.585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DDD0784" w14:textId="77777777" w:rsidR="00C2051F" w:rsidRPr="00C2051F" w:rsidRDefault="00C2051F" w:rsidP="007941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273.294</w:t>
            </w:r>
          </w:p>
        </w:tc>
      </w:tr>
      <w:tr w:rsidR="00C2051F" w14:paraId="45823D64" w14:textId="77777777" w:rsidTr="00794102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B0374" w14:textId="77777777" w:rsidR="00C2051F" w:rsidRPr="00C2051F" w:rsidRDefault="00C205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028DF" w14:textId="77777777" w:rsidR="00C2051F" w:rsidRPr="00C2051F" w:rsidRDefault="00C2051F" w:rsidP="007941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26.76%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CC18A" w14:textId="77777777" w:rsidR="00C2051F" w:rsidRPr="00C2051F" w:rsidRDefault="00C2051F" w:rsidP="007941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63.51%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98C64" w14:textId="77777777" w:rsidR="00C2051F" w:rsidRPr="00C2051F" w:rsidRDefault="00C2051F" w:rsidP="007941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9.73%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BE08D" w14:textId="77777777" w:rsidR="00C2051F" w:rsidRPr="00C2051F" w:rsidRDefault="00C2051F" w:rsidP="007941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</w:tbl>
    <w:p w14:paraId="61232731" w14:textId="7BB2222F" w:rsidR="00C2051F" w:rsidRDefault="00C205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noProof/>
        </w:rPr>
        <w:drawing>
          <wp:inline distT="0" distB="0" distL="0" distR="0" wp14:anchorId="7BD651F1" wp14:editId="77C905B3">
            <wp:extent cx="5943600" cy="2617062"/>
            <wp:effectExtent l="0" t="0" r="0" b="12065"/>
            <wp:docPr id="83577446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6653C87-CD16-13CD-A5A5-537387CD6E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6475A3E" w14:textId="3B460A28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Отворени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даље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носи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главнину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(≈ 85,92%),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уз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6A5DCC65" w14:textId="7771391C" w:rsidR="0021204D" w:rsidRPr="0021204D" w:rsidRDefault="005E4D1F" w:rsidP="00747F8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благо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повећање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просјека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односу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2023,</w:t>
      </w:r>
    </w:p>
    <w:p w14:paraId="2B7730A9" w14:textId="31142412" w:rsidR="0021204D" w:rsidRDefault="005E4D1F" w:rsidP="00747F8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даље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велики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1–2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6CCFD9BF" w14:textId="77777777" w:rsidR="00C2051F" w:rsidRPr="00E274AC" w:rsidRDefault="00C2051F" w:rsidP="00C2051F">
      <w:pPr>
        <w:pStyle w:val="ListParagraph"/>
        <w:jc w:val="both"/>
        <w:rPr>
          <w:lang w:val="pt-BR"/>
        </w:rPr>
      </w:pPr>
    </w:p>
    <w:p w14:paraId="0F0FC782" w14:textId="0EEE52AF" w:rsidR="00C2051F" w:rsidRPr="00C64C4B" w:rsidRDefault="005E4D1F" w:rsidP="00C2051F">
      <w:pPr>
        <w:pStyle w:val="ListParagraph"/>
        <w:ind w:left="0"/>
        <w:jc w:val="both"/>
        <w:rPr>
          <w:rFonts w:ascii="Times New Roman" w:hAnsi="Times New Roman" w:cs="Times New Roman"/>
          <w:color w:val="000000"/>
          <w:lang w:val="pt-BR"/>
        </w:rPr>
      </w:pPr>
      <w:r>
        <w:rPr>
          <w:rFonts w:ascii="Times New Roman" w:hAnsi="Times New Roman" w:cs="Times New Roman"/>
          <w:lang w:val="pt-BR"/>
        </w:rPr>
        <w:t>Вриједност</w:t>
      </w:r>
      <w:r w:rsidR="00C2051F" w:rsidRPr="00C64C4B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додијељених</w:t>
      </w:r>
      <w:r w:rsidR="00C2051F" w:rsidRPr="00C64C4B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уговора</w:t>
      </w:r>
      <w:r w:rsidR="00C2051F" w:rsidRPr="00C64C4B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C2051F" w:rsidRPr="00C64C4B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отвореном</w:t>
      </w:r>
      <w:r w:rsidR="00C2051F" w:rsidRPr="00C64C4B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поступку</w:t>
      </w:r>
      <w:r w:rsidR="00C2051F" w:rsidRPr="00C64C4B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C2051F" w:rsidRPr="00C64C4B">
        <w:rPr>
          <w:rFonts w:ascii="Times New Roman" w:hAnsi="Times New Roman" w:cs="Times New Roman"/>
          <w:lang w:val="pt-BR"/>
        </w:rPr>
        <w:t xml:space="preserve"> 2024. </w:t>
      </w:r>
      <w:r>
        <w:rPr>
          <w:rFonts w:ascii="Times New Roman" w:hAnsi="Times New Roman" w:cs="Times New Roman"/>
          <w:lang w:val="pt-BR"/>
        </w:rPr>
        <w:t>години</w:t>
      </w:r>
      <w:r w:rsidR="00C2051F" w:rsidRPr="00C64C4B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C2051F" w:rsidRPr="00C64C4B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износио</w:t>
      </w:r>
      <w:r w:rsidR="00C2051F" w:rsidRPr="00C64C4B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укупно</w:t>
      </w:r>
      <w:r w:rsidR="00C2051F" w:rsidRPr="00C64C4B">
        <w:rPr>
          <w:rFonts w:ascii="Times New Roman" w:hAnsi="Times New Roman" w:cs="Times New Roman"/>
          <w:lang w:val="pt-BR"/>
        </w:rPr>
        <w:t xml:space="preserve"> </w:t>
      </w:r>
      <w:r w:rsidR="00C2051F" w:rsidRPr="00C64C4B">
        <w:rPr>
          <w:rFonts w:ascii="Times New Roman" w:hAnsi="Times New Roman" w:cs="Times New Roman"/>
          <w:b/>
          <w:color w:val="000000"/>
          <w:lang w:val="pt-BR"/>
        </w:rPr>
        <w:t xml:space="preserve">3.599.766.220,72 </w:t>
      </w:r>
      <w:r>
        <w:rPr>
          <w:rFonts w:ascii="Times New Roman" w:hAnsi="Times New Roman" w:cs="Times New Roman"/>
          <w:color w:val="000000"/>
          <w:lang w:val="pt-BR"/>
        </w:rPr>
        <w:t>КМ</w:t>
      </w:r>
      <w:r w:rsidR="00C2051F" w:rsidRPr="00C64C4B">
        <w:rPr>
          <w:rFonts w:ascii="Times New Roman" w:hAnsi="Times New Roman" w:cs="Times New Roman"/>
          <w:color w:val="000000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lang w:val="pt-BR"/>
        </w:rPr>
        <w:t>или</w:t>
      </w:r>
      <w:r w:rsidR="00C2051F" w:rsidRPr="00C64C4B">
        <w:rPr>
          <w:rFonts w:ascii="Times New Roman" w:hAnsi="Times New Roman" w:cs="Times New Roman"/>
          <w:color w:val="000000"/>
          <w:lang w:val="pt-BR"/>
        </w:rPr>
        <w:t xml:space="preserve"> </w:t>
      </w:r>
      <w:r w:rsidR="00C2051F" w:rsidRPr="00C64C4B">
        <w:rPr>
          <w:rFonts w:ascii="Times New Roman" w:hAnsi="Times New Roman" w:cs="Times New Roman"/>
          <w:bCs/>
          <w:color w:val="000000"/>
          <w:lang w:val="pt-BR"/>
        </w:rPr>
        <w:t>85.92</w:t>
      </w:r>
      <w:r w:rsidR="00C2051F" w:rsidRPr="00C64C4B">
        <w:rPr>
          <w:rFonts w:ascii="Times New Roman" w:hAnsi="Times New Roman" w:cs="Times New Roman"/>
          <w:b/>
          <w:bCs/>
          <w:color w:val="000000"/>
          <w:lang w:val="pt-BR"/>
        </w:rPr>
        <w:t xml:space="preserve"> </w:t>
      </w:r>
      <w:r w:rsidR="00C2051F" w:rsidRPr="00C64C4B">
        <w:rPr>
          <w:rFonts w:ascii="Times New Roman" w:hAnsi="Times New Roman" w:cs="Times New Roman"/>
          <w:color w:val="000000"/>
          <w:lang w:val="pt-BR"/>
        </w:rPr>
        <w:t xml:space="preserve">% </w:t>
      </w:r>
      <w:r>
        <w:rPr>
          <w:rFonts w:ascii="Times New Roman" w:hAnsi="Times New Roman" w:cs="Times New Roman"/>
          <w:color w:val="000000"/>
          <w:lang w:val="pt-BR"/>
        </w:rPr>
        <w:t>од</w:t>
      </w:r>
      <w:r w:rsidR="00C2051F" w:rsidRPr="00C64C4B">
        <w:rPr>
          <w:rFonts w:ascii="Times New Roman" w:hAnsi="Times New Roman" w:cs="Times New Roman"/>
          <w:color w:val="000000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lang w:val="pt-BR"/>
        </w:rPr>
        <w:t>свих</w:t>
      </w:r>
      <w:r w:rsidR="00C2051F" w:rsidRPr="00C64C4B">
        <w:rPr>
          <w:rFonts w:ascii="Times New Roman" w:hAnsi="Times New Roman" w:cs="Times New Roman"/>
          <w:color w:val="000000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lang w:val="pt-BR"/>
        </w:rPr>
        <w:t>свих</w:t>
      </w:r>
      <w:r w:rsidR="00C2051F" w:rsidRPr="00C64C4B">
        <w:rPr>
          <w:rFonts w:ascii="Times New Roman" w:hAnsi="Times New Roman" w:cs="Times New Roman"/>
          <w:color w:val="000000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lang w:val="pt-BR"/>
        </w:rPr>
        <w:t>додијељених</w:t>
      </w:r>
      <w:r w:rsidR="00C2051F" w:rsidRPr="00C64C4B">
        <w:rPr>
          <w:rFonts w:ascii="Times New Roman" w:hAnsi="Times New Roman" w:cs="Times New Roman"/>
          <w:color w:val="000000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lang w:val="pt-BR"/>
        </w:rPr>
        <w:t>уговора</w:t>
      </w:r>
      <w:r w:rsidR="00C2051F" w:rsidRPr="00C64C4B">
        <w:rPr>
          <w:rFonts w:ascii="Times New Roman" w:hAnsi="Times New Roman" w:cs="Times New Roman"/>
          <w:color w:val="000000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lang w:val="pt-BR"/>
        </w:rPr>
        <w:t>у</w:t>
      </w:r>
      <w:r w:rsidR="00C2051F" w:rsidRPr="00C64C4B">
        <w:rPr>
          <w:rFonts w:ascii="Times New Roman" w:hAnsi="Times New Roman" w:cs="Times New Roman"/>
          <w:color w:val="000000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lang w:val="pt-BR"/>
        </w:rPr>
        <w:t>поступцима</w:t>
      </w:r>
      <w:r w:rsidR="00C2051F" w:rsidRPr="00C64C4B">
        <w:rPr>
          <w:rFonts w:ascii="Times New Roman" w:hAnsi="Times New Roman" w:cs="Times New Roman"/>
          <w:color w:val="000000"/>
          <w:lang w:val="pt-BR"/>
        </w:rPr>
        <w:t xml:space="preserve"> „</w:t>
      </w:r>
      <w:r w:rsidR="00FE64DA">
        <w:rPr>
          <w:rFonts w:ascii="Times New Roman" w:hAnsi="Times New Roman" w:cs="Times New Roman"/>
          <w:color w:val="000000"/>
          <w:lang w:val="pt-BR"/>
        </w:rPr>
        <w:t>Поглављеа I</w:t>
      </w:r>
      <w:r w:rsidR="00C2051F" w:rsidRPr="00C64C4B">
        <w:rPr>
          <w:rFonts w:ascii="Times New Roman" w:hAnsi="Times New Roman" w:cs="Times New Roman"/>
          <w:color w:val="000000"/>
          <w:lang w:val="pt-BR"/>
        </w:rPr>
        <w:t xml:space="preserve">“. </w:t>
      </w:r>
      <w:r>
        <w:rPr>
          <w:rFonts w:ascii="Times New Roman" w:hAnsi="Times New Roman" w:cs="Times New Roman"/>
          <w:lang w:val="pt-BR"/>
        </w:rPr>
        <w:t>Односно</w:t>
      </w:r>
      <w:r w:rsidR="00C2051F" w:rsidRPr="00C64C4B">
        <w:rPr>
          <w:rFonts w:ascii="Times New Roman" w:hAnsi="Times New Roman" w:cs="Times New Roman"/>
          <w:lang w:val="pt-BR"/>
        </w:rPr>
        <w:t xml:space="preserve"> 70.46 % % </w:t>
      </w:r>
      <w:r>
        <w:rPr>
          <w:rFonts w:ascii="Times New Roman" w:hAnsi="Times New Roman" w:cs="Times New Roman"/>
          <w:lang w:val="pt-BR"/>
        </w:rPr>
        <w:t>од</w:t>
      </w:r>
      <w:r w:rsidR="00C2051F" w:rsidRPr="00C64C4B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свих</w:t>
      </w:r>
      <w:r w:rsidR="00C2051F" w:rsidRPr="00C64C4B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додијељених</w:t>
      </w:r>
      <w:r w:rsidR="00C2051F" w:rsidRPr="00C64C4B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уговора</w:t>
      </w:r>
      <w:r w:rsidR="00C2051F" w:rsidRPr="00C64C4B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C2051F" w:rsidRPr="00C64C4B">
        <w:rPr>
          <w:rFonts w:ascii="Times New Roman" w:hAnsi="Times New Roman" w:cs="Times New Roman"/>
          <w:lang w:val="pt-BR"/>
        </w:rPr>
        <w:t xml:space="preserve"> 2024. </w:t>
      </w:r>
      <w:r>
        <w:rPr>
          <w:rFonts w:ascii="Times New Roman" w:hAnsi="Times New Roman" w:cs="Times New Roman"/>
          <w:lang w:val="pt-BR"/>
        </w:rPr>
        <w:t>години</w:t>
      </w:r>
      <w:r w:rsidR="00C2051F" w:rsidRPr="00C64C4B">
        <w:rPr>
          <w:rFonts w:ascii="Times New Roman" w:hAnsi="Times New Roman" w:cs="Times New Roman"/>
          <w:lang w:val="pt-BR"/>
        </w:rPr>
        <w:t>.</w:t>
      </w:r>
    </w:p>
    <w:p w14:paraId="16928170" w14:textId="19C9D6BB" w:rsidR="0021204D" w:rsidRPr="00C64C4B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ПБО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опада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вриједносно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21204D" w:rsidRPr="00C64C4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261.114.116,12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КМ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(≈ 6,23%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FE64DA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Поглављеа I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),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али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32567F49" w14:textId="1B3CA777" w:rsidR="00C2051F" w:rsidRPr="00C64C4B" w:rsidRDefault="005E4D1F" w:rsidP="00C205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даље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представља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скуп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високовриједних</w:t>
      </w:r>
      <w:r w:rsidR="0021204D" w:rsidRPr="00C64C4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уговора</w:t>
      </w:r>
      <w:r w:rsidR="0021204D" w:rsidRPr="00C64C4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са</w:t>
      </w:r>
      <w:r w:rsidR="0021204D" w:rsidRPr="00C64C4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минималном</w:t>
      </w:r>
      <w:r w:rsidR="0021204D" w:rsidRPr="00C64C4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конкуренцијом</w:t>
      </w:r>
      <w:r w:rsidR="0021204D"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7E3B672D" w14:textId="7560F470" w:rsidR="00C2051F" w:rsidRPr="00E274AC" w:rsidRDefault="005E4D1F" w:rsidP="00C2051F">
      <w:pPr>
        <w:jc w:val="both"/>
        <w:rPr>
          <w:rFonts w:ascii="Times New Roman" w:hAnsi="Times New Roman" w:cs="Times New Roman"/>
          <w:color w:val="000000"/>
          <w:lang w:val="pt-BR"/>
        </w:rPr>
      </w:pPr>
      <w:r>
        <w:rPr>
          <w:rFonts w:ascii="Times New Roman" w:hAnsi="Times New Roman" w:cs="Times New Roman"/>
          <w:lang w:val="pt-BR"/>
        </w:rPr>
        <w:t>Вриједност</w:t>
      </w:r>
      <w:r w:rsidR="00C2051F" w:rsidRPr="00E274AC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додијељених</w:t>
      </w:r>
      <w:r w:rsidR="00C2051F" w:rsidRPr="00E274AC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уговора</w:t>
      </w:r>
      <w:r w:rsidR="00C2051F" w:rsidRPr="00E274AC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C2051F" w:rsidRPr="00E274AC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преговарачком</w:t>
      </w:r>
      <w:r w:rsidR="00C2051F" w:rsidRPr="00E274AC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поступку</w:t>
      </w:r>
      <w:r w:rsidR="00C2051F" w:rsidRPr="00E274AC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без</w:t>
      </w:r>
      <w:r w:rsidR="00C2051F" w:rsidRPr="00E274AC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објаве</w:t>
      </w:r>
      <w:r w:rsidR="00C2051F" w:rsidRPr="00E274AC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обавјештења</w:t>
      </w:r>
      <w:r w:rsidR="00C2051F" w:rsidRPr="00E274AC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C2051F" w:rsidRPr="00E274AC">
        <w:rPr>
          <w:rFonts w:ascii="Times New Roman" w:hAnsi="Times New Roman" w:cs="Times New Roman"/>
          <w:lang w:val="pt-BR"/>
        </w:rPr>
        <w:t xml:space="preserve"> 2024. </w:t>
      </w:r>
      <w:r>
        <w:rPr>
          <w:rFonts w:ascii="Times New Roman" w:hAnsi="Times New Roman" w:cs="Times New Roman"/>
          <w:lang w:val="pt-BR"/>
        </w:rPr>
        <w:t>години</w:t>
      </w:r>
      <w:r w:rsidR="00C2051F" w:rsidRPr="00E274AC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C2051F" w:rsidRPr="00E274AC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износио</w:t>
      </w:r>
      <w:r w:rsidR="00C2051F" w:rsidRPr="00E274AC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укупно</w:t>
      </w:r>
      <w:r w:rsidR="00C2051F" w:rsidRPr="00E274AC">
        <w:rPr>
          <w:rFonts w:ascii="Times New Roman" w:hAnsi="Times New Roman" w:cs="Times New Roman"/>
          <w:lang w:val="pt-BR"/>
        </w:rPr>
        <w:t xml:space="preserve"> </w:t>
      </w:r>
      <w:r w:rsidR="00C2051F" w:rsidRPr="00E274AC">
        <w:rPr>
          <w:rFonts w:ascii="Times New Roman" w:hAnsi="Times New Roman" w:cs="Times New Roman"/>
          <w:b/>
          <w:color w:val="000000"/>
          <w:lang w:val="pt-BR"/>
        </w:rPr>
        <w:t xml:space="preserve">261.114.116,12 </w:t>
      </w:r>
      <w:r>
        <w:rPr>
          <w:rFonts w:ascii="Times New Roman" w:hAnsi="Times New Roman" w:cs="Times New Roman"/>
          <w:b/>
          <w:bCs/>
          <w:color w:val="000000"/>
          <w:lang w:val="pt-BR"/>
        </w:rPr>
        <w:t>КМ</w:t>
      </w:r>
      <w:r w:rsidR="00C2051F" w:rsidRPr="00E274AC">
        <w:rPr>
          <w:rFonts w:ascii="Times New Roman" w:hAnsi="Times New Roman" w:cs="Times New Roman"/>
          <w:color w:val="000000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lang w:val="pt-BR"/>
        </w:rPr>
        <w:t>или</w:t>
      </w:r>
      <w:r w:rsidR="00C2051F" w:rsidRPr="00E274AC">
        <w:rPr>
          <w:rFonts w:ascii="Times New Roman" w:hAnsi="Times New Roman" w:cs="Times New Roman"/>
          <w:color w:val="000000"/>
          <w:lang w:val="pt-BR"/>
        </w:rPr>
        <w:t xml:space="preserve"> </w:t>
      </w:r>
      <w:r w:rsidR="00C2051F" w:rsidRPr="00E274AC">
        <w:rPr>
          <w:rFonts w:ascii="Times New Roman" w:hAnsi="Times New Roman" w:cs="Times New Roman"/>
          <w:b/>
          <w:bCs/>
          <w:color w:val="000000"/>
          <w:lang w:val="pt-BR"/>
        </w:rPr>
        <w:t xml:space="preserve">6.23 </w:t>
      </w:r>
      <w:r w:rsidR="00C2051F" w:rsidRPr="00E274AC">
        <w:rPr>
          <w:rFonts w:ascii="Times New Roman" w:hAnsi="Times New Roman" w:cs="Times New Roman"/>
          <w:color w:val="000000"/>
          <w:lang w:val="pt-BR"/>
        </w:rPr>
        <w:t xml:space="preserve">% </w:t>
      </w:r>
      <w:r>
        <w:rPr>
          <w:rFonts w:ascii="Times New Roman" w:hAnsi="Times New Roman" w:cs="Times New Roman"/>
          <w:color w:val="000000"/>
          <w:lang w:val="pt-BR"/>
        </w:rPr>
        <w:t>од</w:t>
      </w:r>
      <w:r w:rsidR="00C2051F" w:rsidRPr="00E274AC">
        <w:rPr>
          <w:rFonts w:ascii="Times New Roman" w:hAnsi="Times New Roman" w:cs="Times New Roman"/>
          <w:color w:val="000000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lang w:val="pt-BR"/>
        </w:rPr>
        <w:t>свих</w:t>
      </w:r>
      <w:r w:rsidR="00C2051F" w:rsidRPr="00E274AC">
        <w:rPr>
          <w:rFonts w:ascii="Times New Roman" w:hAnsi="Times New Roman" w:cs="Times New Roman"/>
          <w:color w:val="000000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lang w:val="pt-BR"/>
        </w:rPr>
        <w:t>додијељених</w:t>
      </w:r>
      <w:r w:rsidR="00C2051F" w:rsidRPr="00E274AC">
        <w:rPr>
          <w:rFonts w:ascii="Times New Roman" w:hAnsi="Times New Roman" w:cs="Times New Roman"/>
          <w:color w:val="000000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lang w:val="pt-BR"/>
        </w:rPr>
        <w:t>уговора</w:t>
      </w:r>
      <w:r w:rsidR="00C2051F" w:rsidRPr="00E274AC">
        <w:rPr>
          <w:rFonts w:ascii="Times New Roman" w:hAnsi="Times New Roman" w:cs="Times New Roman"/>
          <w:color w:val="000000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lang w:val="pt-BR"/>
        </w:rPr>
        <w:t>у</w:t>
      </w:r>
      <w:r w:rsidR="00C2051F" w:rsidRPr="00E274AC">
        <w:rPr>
          <w:rFonts w:ascii="Times New Roman" w:hAnsi="Times New Roman" w:cs="Times New Roman"/>
          <w:color w:val="000000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lang w:val="pt-BR"/>
        </w:rPr>
        <w:t>поступцима</w:t>
      </w:r>
      <w:r w:rsidR="00C2051F" w:rsidRPr="00E274AC">
        <w:rPr>
          <w:rFonts w:ascii="Times New Roman" w:hAnsi="Times New Roman" w:cs="Times New Roman"/>
          <w:color w:val="000000"/>
          <w:lang w:val="pt-BR"/>
        </w:rPr>
        <w:t xml:space="preserve"> „</w:t>
      </w:r>
      <w:r w:rsidR="00FE64DA">
        <w:rPr>
          <w:rFonts w:ascii="Times New Roman" w:hAnsi="Times New Roman" w:cs="Times New Roman"/>
          <w:color w:val="000000"/>
          <w:lang w:val="pt-BR"/>
        </w:rPr>
        <w:t>Поглављеа I</w:t>
      </w:r>
      <w:r w:rsidR="00C2051F" w:rsidRPr="00E274AC">
        <w:rPr>
          <w:rFonts w:ascii="Times New Roman" w:hAnsi="Times New Roman" w:cs="Times New Roman"/>
          <w:color w:val="000000"/>
          <w:lang w:val="pt-BR"/>
        </w:rPr>
        <w:t>“</w:t>
      </w:r>
      <w:r w:rsidR="00C2051F" w:rsidRPr="00E274AC">
        <w:rPr>
          <w:rFonts w:ascii="Times New Roman" w:hAnsi="Times New Roman" w:cs="Times New Roman"/>
          <w:color w:val="000000" w:themeColor="text1"/>
          <w:lang w:val="pt-BR"/>
        </w:rPr>
        <w:t>,</w:t>
      </w:r>
      <w:r w:rsidR="00C2051F" w:rsidRPr="00E274AC">
        <w:rPr>
          <w:rFonts w:ascii="Times New Roman" w:hAnsi="Times New Roman" w:cs="Times New Roman"/>
          <w:color w:val="FF0000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односно</w:t>
      </w:r>
      <w:r w:rsidR="00C2051F" w:rsidRPr="00E274AC">
        <w:rPr>
          <w:rFonts w:ascii="Times New Roman" w:hAnsi="Times New Roman" w:cs="Times New Roman"/>
          <w:lang w:val="pt-BR"/>
        </w:rPr>
        <w:t xml:space="preserve"> 5.11 % </w:t>
      </w:r>
      <w:r>
        <w:rPr>
          <w:rFonts w:ascii="Times New Roman" w:hAnsi="Times New Roman" w:cs="Times New Roman"/>
          <w:lang w:val="pt-BR"/>
        </w:rPr>
        <w:t>од</w:t>
      </w:r>
      <w:r w:rsidR="00C2051F" w:rsidRPr="00E274AC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свих</w:t>
      </w:r>
      <w:r w:rsidR="00C2051F" w:rsidRPr="00E274AC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додијељених</w:t>
      </w:r>
      <w:r w:rsidR="00C2051F" w:rsidRPr="00E274AC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уговора</w:t>
      </w:r>
      <w:r w:rsidR="00C2051F" w:rsidRPr="00E274AC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C2051F" w:rsidRPr="00E274AC">
        <w:rPr>
          <w:rFonts w:ascii="Times New Roman" w:hAnsi="Times New Roman" w:cs="Times New Roman"/>
          <w:lang w:val="pt-BR"/>
        </w:rPr>
        <w:t xml:space="preserve"> 2024. </w:t>
      </w:r>
      <w:r>
        <w:rPr>
          <w:rFonts w:ascii="Times New Roman" w:hAnsi="Times New Roman" w:cs="Times New Roman"/>
          <w:lang w:val="pt-BR"/>
        </w:rPr>
        <w:t>години</w:t>
      </w:r>
      <w:r w:rsidR="00C2051F" w:rsidRPr="00E274AC">
        <w:rPr>
          <w:rFonts w:ascii="Times New Roman" w:hAnsi="Times New Roman" w:cs="Times New Roman"/>
          <w:lang w:val="pt-BR"/>
        </w:rPr>
        <w:t>.</w:t>
      </w:r>
    </w:p>
    <w:p w14:paraId="78BFD78B" w14:textId="6F0B8E95" w:rsidR="0021204D" w:rsidRPr="0021204D" w:rsidRDefault="005E4D1F" w:rsidP="00212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б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) </w:t>
      </w:r>
      <w:r w:rsidR="00FE64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Поглавље V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(2024)</w:t>
      </w:r>
    </w:p>
    <w:p w14:paraId="72BCF28B" w14:textId="00E8A10E" w:rsidR="0021204D" w:rsidRPr="0021204D" w:rsidRDefault="005E4D1F" w:rsidP="00747F8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вриједност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355.878.648,84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КМ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(6,97%)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5B1B2DC" w14:textId="7DB22724" w:rsidR="0021204D" w:rsidRPr="0021204D" w:rsidRDefault="005E4D1F" w:rsidP="00747F8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број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уговора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173.583 (63,51%)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D277F36" w14:textId="7E8C5396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Директни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споразум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0F47F391" w14:textId="1D759D2B" w:rsidR="0021204D" w:rsidRPr="0021204D" w:rsidRDefault="0021204D" w:rsidP="00747F8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149.353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уговора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657B6F3" w14:textId="1A6A2C6D" w:rsidR="0021204D" w:rsidRPr="0021204D" w:rsidRDefault="0021204D" w:rsidP="00747F8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≈ 47,53%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вриједности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B6080">
        <w:rPr>
          <w:rFonts w:ascii="Times New Roman" w:eastAsia="Times New Roman" w:hAnsi="Times New Roman" w:cs="Times New Roman"/>
          <w:kern w:val="0"/>
          <w14:ligatures w14:val="none"/>
        </w:rPr>
        <w:t>Поглавља V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E1267BC" w14:textId="3EC419C1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Конкурентски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захтјев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32280DF" w14:textId="007FA7C1" w:rsidR="0021204D" w:rsidRPr="0021204D" w:rsidRDefault="0021204D" w:rsidP="00747F8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24.230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уговора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7DB6C24D" w14:textId="3809B8BB" w:rsidR="0021204D" w:rsidRPr="0021204D" w:rsidRDefault="0021204D" w:rsidP="00747F8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≈ 52,47%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вриједности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B6080">
        <w:rPr>
          <w:rFonts w:ascii="Times New Roman" w:eastAsia="Times New Roman" w:hAnsi="Times New Roman" w:cs="Times New Roman"/>
          <w:kern w:val="0"/>
          <w14:ligatures w14:val="none"/>
        </w:rPr>
        <w:t>Поглавља V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748F543" w14:textId="66903081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Број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директних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споразума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даље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расте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конкурентски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захтјев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успијева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значајно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подићи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просјек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понуда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4F5FDC1" w14:textId="66C25EC8" w:rsidR="0021204D" w:rsidRPr="0021204D" w:rsidRDefault="005E4D1F" w:rsidP="00212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ц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) </w:t>
      </w:r>
      <w:r w:rsidR="00FE64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Анекс II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(2024)</w:t>
      </w:r>
    </w:p>
    <w:p w14:paraId="1C14BCF7" w14:textId="45DB5E70" w:rsidR="0021204D" w:rsidRPr="0021204D" w:rsidRDefault="005E4D1F" w:rsidP="00747F8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вриједност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563.048.155,53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КМ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(11,02%)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62A22047" w14:textId="0A38E5C2" w:rsidR="0021204D" w:rsidRPr="0021204D" w:rsidRDefault="005E4D1F" w:rsidP="00747F8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број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уговора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26.585 (9,73%)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0BD27C0" w14:textId="08738E36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односу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2023.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FE64DA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Анекса II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опада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≈ 716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мил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.),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73AAB010" w14:textId="3C440423" w:rsidR="0021204D" w:rsidRPr="0021204D" w:rsidRDefault="005E4D1F" w:rsidP="00747F8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структура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битно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мијења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даље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мали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специјализованих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добављача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низак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просјек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7631424F" w14:textId="2E0BC815" w:rsidR="0021204D" w:rsidRPr="0021204D" w:rsidRDefault="0021204D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C9B6AD" w14:textId="2183B915" w:rsidR="0021204D" w:rsidRPr="0021204D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4.2.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Аналитичко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објашњење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конкуренције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(2024)</w:t>
      </w:r>
    </w:p>
    <w:p w14:paraId="0771ECEF" w14:textId="3299FEAC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Благи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раст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броја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понуда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(1,75) </w:t>
      </w:r>
      <w:r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односу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2023.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показује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89B3762" w14:textId="65512235" w:rsidR="0021204D" w:rsidRPr="0021204D" w:rsidRDefault="005E4D1F" w:rsidP="00747F8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тржиште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дјелимично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прилагођава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5A88B09" w14:textId="23334B3A" w:rsidR="0021204D" w:rsidRPr="0021204D" w:rsidRDefault="005E4D1F" w:rsidP="00747F8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поједини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сектори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14:ligatures w14:val="none"/>
        </w:rPr>
        <w:t>нпр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робе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мање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услуге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14:ligatures w14:val="none"/>
        </w:rPr>
        <w:t>биљеже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нешто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више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понуда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DEAA958" w14:textId="2F3A9E2D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Међутим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E6F5CF9" w14:textId="23C97BBA" w:rsidR="0021204D" w:rsidRPr="0021204D" w:rsidRDefault="005E4D1F" w:rsidP="00747F8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даље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просјечан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испод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2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214EABA7" w14:textId="1D4B1046" w:rsidR="0021204D" w:rsidRPr="0021204D" w:rsidRDefault="005E4D1F" w:rsidP="00747F8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многим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кључним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секторима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радови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здравство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енергија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доминантни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сингле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бид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или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танко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конкурентни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поступци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621BEE6C" w14:textId="678D2D32" w:rsidR="0021204D" w:rsidRPr="0021204D" w:rsidRDefault="0021204D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968D62" w14:textId="28D10055" w:rsidR="0021204D" w:rsidRPr="0021204D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4.3.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Поступци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са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једном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понудом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(2024)</w:t>
      </w:r>
    </w:p>
    <w:p w14:paraId="7EBAD4DF" w14:textId="154D2AFF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2024.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години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удио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сингле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бид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процјењује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60855AE8" w14:textId="194C5687" w:rsidR="0021204D" w:rsidRPr="0021204D" w:rsidRDefault="005E4D1F" w:rsidP="00747F8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lastRenderedPageBreak/>
        <w:t>отприлике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35–40%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дакле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нешто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ниже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него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2023,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даље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превисоко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76FD65B2" w14:textId="743D71B0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Највећи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удио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остаје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23361AF" w14:textId="46CD7671" w:rsidR="0021204D" w:rsidRPr="0021204D" w:rsidRDefault="005E4D1F" w:rsidP="00747F8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ПБО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83778E0" w14:textId="3C0F20A8" w:rsidR="0021204D" w:rsidRPr="0021204D" w:rsidRDefault="005E4D1F" w:rsidP="00747F8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директним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споразумима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4324FE6B" w14:textId="3C55B2E0" w:rsidR="0021204D" w:rsidRPr="0021204D" w:rsidRDefault="00FE64DA" w:rsidP="00747F8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Анексу II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7D412EED" w14:textId="359362BD" w:rsidR="0021204D" w:rsidRPr="0021204D" w:rsidRDefault="005E4D1F" w:rsidP="00747F8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великим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радовима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без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лотова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8B2350E" w14:textId="15079D35" w:rsidR="0021204D" w:rsidRPr="0021204D" w:rsidRDefault="0021204D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AA36C5" w14:textId="04BAF4A8" w:rsidR="0021204D" w:rsidRPr="0021204D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4.4.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Територијалне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и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секторске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разлике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(2024)</w:t>
      </w:r>
    </w:p>
    <w:p w14:paraId="580417DB" w14:textId="6BF12A6D" w:rsidR="0021204D" w:rsidRPr="0021204D" w:rsidRDefault="005E4D1F" w:rsidP="00212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ПБО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по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ентитетима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(2024)</w:t>
      </w:r>
    </w:p>
    <w:p w14:paraId="301402CD" w14:textId="004C5892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Приближни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удјели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ПБО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0ABC4EF0" w14:textId="03DFB826" w:rsidR="0021204D" w:rsidRPr="0021204D" w:rsidRDefault="005E4D1F" w:rsidP="00747F8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ниво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БиХ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≈ 4,5%,</w:t>
      </w:r>
    </w:p>
    <w:p w14:paraId="752D0634" w14:textId="04062B89" w:rsidR="0021204D" w:rsidRPr="0021204D" w:rsidRDefault="005E4D1F" w:rsidP="00747F8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ФБиХ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≈ 69,5%,</w:t>
      </w:r>
    </w:p>
    <w:p w14:paraId="5B5401DC" w14:textId="6145441C" w:rsidR="0021204D" w:rsidRPr="0021204D" w:rsidRDefault="005E4D1F" w:rsidP="00747F8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РС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≈ 25,8%,</w:t>
      </w:r>
    </w:p>
    <w:p w14:paraId="40D83042" w14:textId="6733799A" w:rsidR="0021204D" w:rsidRDefault="005E4D1F" w:rsidP="00747F8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БД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≈ 0,2%.</w:t>
      </w:r>
    </w:p>
    <w:p w14:paraId="273DA74C" w14:textId="3F53EAE7" w:rsidR="00C2051F" w:rsidRPr="001938D9" w:rsidRDefault="005E4D1F" w:rsidP="001938D9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Табеларни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приказ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вриједности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додијељених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уговора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за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преговарачки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поступак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без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објаве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обавјештења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о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набавци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у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2024. </w:t>
      </w:r>
      <w:r>
        <w:rPr>
          <w:rFonts w:ascii="Times New Roman" w:hAnsi="Times New Roman" w:cs="Times New Roman"/>
          <w:color w:val="000000" w:themeColor="text1"/>
        </w:rPr>
        <w:t>години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према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предмету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набавке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и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нивоу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власти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којем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припада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уговорни</w:t>
      </w:r>
      <w:r w:rsidR="00C2051F" w:rsidRPr="001938D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орган</w:t>
      </w:r>
      <w:r w:rsidR="00C2051F" w:rsidRPr="001938D9">
        <w:rPr>
          <w:rFonts w:ascii="Times New Roman" w:hAnsi="Times New Roman" w:cs="Times New Roman"/>
          <w:color w:val="000000" w:themeColor="text1"/>
        </w:rPr>
        <w:t>:</w:t>
      </w:r>
    </w:p>
    <w:p w14:paraId="0347E47C" w14:textId="77777777" w:rsidR="00C2051F" w:rsidRPr="00C2051F" w:rsidRDefault="00C2051F" w:rsidP="001938D9">
      <w:pPr>
        <w:pStyle w:val="ListParagraph"/>
        <w:rPr>
          <w:i/>
          <w:iCs/>
        </w:rPr>
      </w:pPr>
    </w:p>
    <w:p w14:paraId="781509F0" w14:textId="77777777" w:rsidR="00C2051F" w:rsidRPr="001938D9" w:rsidRDefault="00C2051F" w:rsidP="001938D9">
      <w:pPr>
        <w:ind w:left="360"/>
        <w:rPr>
          <w:i/>
          <w:iCs/>
        </w:rPr>
      </w:pPr>
    </w:p>
    <w:tbl>
      <w:tblPr>
        <w:tblW w:w="9340" w:type="dxa"/>
        <w:tblLook w:val="04A0" w:firstRow="1" w:lastRow="0" w:firstColumn="1" w:lastColumn="0" w:noHBand="0" w:noVBand="1"/>
      </w:tblPr>
      <w:tblGrid>
        <w:gridCol w:w="1121"/>
        <w:gridCol w:w="1562"/>
        <w:gridCol w:w="1842"/>
        <w:gridCol w:w="1702"/>
        <w:gridCol w:w="1276"/>
        <w:gridCol w:w="1837"/>
      </w:tblGrid>
      <w:tr w:rsidR="00C2051F" w:rsidRPr="0082552C" w14:paraId="463A6247" w14:textId="77777777" w:rsidTr="00794102">
        <w:trPr>
          <w:trHeight w:val="430"/>
        </w:trPr>
        <w:tc>
          <w:tcPr>
            <w:tcW w:w="9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A2B326D" w14:textId="468F1D7D" w:rsidR="00C2051F" w:rsidRPr="001938D9" w:rsidRDefault="005E4D1F" w:rsidP="007941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Укупна</w:t>
            </w:r>
            <w:r w:rsidR="00C2051F" w:rsidRPr="001938D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вриједност</w:t>
            </w:r>
            <w:r w:rsidR="00C2051F" w:rsidRPr="001938D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додијељених</w:t>
            </w:r>
            <w:r w:rsidR="00C2051F" w:rsidRPr="001938D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уговора</w:t>
            </w:r>
            <w:r w:rsidR="00C2051F" w:rsidRPr="001938D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за</w:t>
            </w:r>
            <w:r w:rsidR="00C2051F" w:rsidRPr="001938D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преговарачки</w:t>
            </w:r>
            <w:r w:rsidR="00C2051F" w:rsidRPr="001938D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поступак</w:t>
            </w:r>
            <w:r w:rsidR="00C2051F" w:rsidRPr="001938D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без</w:t>
            </w:r>
            <w:r w:rsidR="00C2051F" w:rsidRPr="001938D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објаве</w:t>
            </w:r>
            <w:r w:rsidR="00C2051F" w:rsidRPr="001938D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обавјештења</w:t>
            </w:r>
            <w:r w:rsidR="00C2051F" w:rsidRPr="001938D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</w:t>
            </w:r>
            <w:r w:rsidR="00C2051F" w:rsidRPr="001938D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набавци</w:t>
            </w:r>
            <w:r w:rsidR="00C2051F" w:rsidRPr="001938D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у</w:t>
            </w:r>
            <w:r w:rsidR="00C2051F" w:rsidRPr="001938D9">
              <w:rPr>
                <w:color w:val="000000"/>
                <w:sz w:val="18"/>
                <w:szCs w:val="18"/>
              </w:rPr>
              <w:t xml:space="preserve"> 2024. </w:t>
            </w:r>
            <w:r>
              <w:rPr>
                <w:color w:val="000000"/>
                <w:sz w:val="18"/>
                <w:szCs w:val="18"/>
              </w:rPr>
              <w:t>години</w:t>
            </w:r>
            <w:r w:rsidR="00C2051F" w:rsidRPr="001938D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према</w:t>
            </w:r>
            <w:r w:rsidR="00C2051F" w:rsidRPr="001938D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предмету</w:t>
            </w:r>
            <w:r w:rsidR="00C2051F" w:rsidRPr="001938D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набавке</w:t>
            </w:r>
            <w:r w:rsidR="00C2051F" w:rsidRPr="001938D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и</w:t>
            </w:r>
            <w:r w:rsidR="00C2051F" w:rsidRPr="001938D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нивоу</w:t>
            </w:r>
            <w:r w:rsidR="00C2051F" w:rsidRPr="001938D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власти</w:t>
            </w:r>
            <w:r w:rsidR="00C2051F" w:rsidRPr="001938D9">
              <w:rPr>
                <w:color w:val="000000"/>
                <w:sz w:val="18"/>
                <w:szCs w:val="18"/>
              </w:rPr>
              <w:t>:</w:t>
            </w:r>
          </w:p>
        </w:tc>
      </w:tr>
      <w:tr w:rsidR="00C2051F" w:rsidRPr="0082552C" w14:paraId="5F8CC885" w14:textId="77777777" w:rsidTr="00794102">
        <w:trPr>
          <w:trHeight w:val="311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92019" w14:textId="77777777" w:rsidR="00C2051F" w:rsidRPr="001938D9" w:rsidRDefault="00C2051F" w:rsidP="00794102">
            <w:pPr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144E9" w14:textId="5244664A" w:rsidR="00C2051F" w:rsidRPr="001938D9" w:rsidRDefault="005E4D1F" w:rsidP="007941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БИХ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D72B7" w14:textId="5F7CDDE9" w:rsidR="00C2051F" w:rsidRPr="001938D9" w:rsidRDefault="005E4D1F" w:rsidP="007941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ФБиХ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6A8AD" w14:textId="37D096ED" w:rsidR="00C2051F" w:rsidRPr="001938D9" w:rsidRDefault="005E4D1F" w:rsidP="007941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1D8A7" w14:textId="1E8643C4" w:rsidR="00C2051F" w:rsidRPr="001938D9" w:rsidRDefault="005E4D1F" w:rsidP="007941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БД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F15668" w14:textId="00BF9ED2" w:rsidR="00C2051F" w:rsidRPr="001938D9" w:rsidRDefault="005E4D1F" w:rsidP="007941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Укупно</w:t>
            </w:r>
          </w:p>
        </w:tc>
      </w:tr>
      <w:tr w:rsidR="00C2051F" w:rsidRPr="0082552C" w14:paraId="0BA504DC" w14:textId="77777777" w:rsidTr="00794102">
        <w:trPr>
          <w:trHeight w:val="311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57002" w14:textId="3B87CFFB" w:rsidR="00C2051F" w:rsidRPr="001938D9" w:rsidRDefault="005E4D1F" w:rsidP="00794102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Робе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6C077" w14:textId="77777777" w:rsidR="00C2051F" w:rsidRPr="001938D9" w:rsidRDefault="00C2051F" w:rsidP="00794102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1.245.551,33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25080" w14:textId="77777777" w:rsidR="00C2051F" w:rsidRPr="001938D9" w:rsidRDefault="00C2051F" w:rsidP="00794102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119.065.695,35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70BF9" w14:textId="77777777" w:rsidR="00C2051F" w:rsidRPr="001938D9" w:rsidRDefault="00C2051F" w:rsidP="00794102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24.273.775,59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35415" w14:textId="77777777" w:rsidR="00C2051F" w:rsidRPr="001938D9" w:rsidRDefault="00C2051F" w:rsidP="00794102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0D7096" w14:textId="77777777" w:rsidR="00C2051F" w:rsidRPr="001938D9" w:rsidRDefault="00C2051F" w:rsidP="00794102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144.585.022,27</w:t>
            </w:r>
          </w:p>
        </w:tc>
      </w:tr>
      <w:tr w:rsidR="00C2051F" w:rsidRPr="0082552C" w14:paraId="0FBD7DD8" w14:textId="77777777" w:rsidTr="00794102">
        <w:trPr>
          <w:trHeight w:val="311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21A5" w14:textId="79745514" w:rsidR="00C2051F" w:rsidRPr="001938D9" w:rsidRDefault="005E4D1F" w:rsidP="00794102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Услуге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99D9" w14:textId="77777777" w:rsidR="00C2051F" w:rsidRPr="001938D9" w:rsidRDefault="00C2051F" w:rsidP="00794102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9.984.283,48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DEAAF" w14:textId="77777777" w:rsidR="00C2051F" w:rsidRPr="001938D9" w:rsidRDefault="00C2051F" w:rsidP="00794102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50.914.521,57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0EEAC" w14:textId="77777777" w:rsidR="00C2051F" w:rsidRPr="001938D9" w:rsidRDefault="00C2051F" w:rsidP="00794102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25.382.643,61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380A" w14:textId="77777777" w:rsidR="00C2051F" w:rsidRPr="001938D9" w:rsidRDefault="00C2051F" w:rsidP="00794102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324.752,50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2FC5A1" w14:textId="77777777" w:rsidR="00C2051F" w:rsidRPr="001938D9" w:rsidRDefault="00C2051F" w:rsidP="00794102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86.606.201,16</w:t>
            </w:r>
          </w:p>
        </w:tc>
      </w:tr>
      <w:tr w:rsidR="00C2051F" w:rsidRPr="0082552C" w14:paraId="0016C883" w14:textId="77777777" w:rsidTr="00794102">
        <w:trPr>
          <w:trHeight w:val="311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17E77" w14:textId="6B060AEC" w:rsidR="00C2051F" w:rsidRPr="001938D9" w:rsidRDefault="005E4D1F" w:rsidP="00794102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Радови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D8182" w14:textId="77777777" w:rsidR="00C2051F" w:rsidRPr="001938D9" w:rsidRDefault="00C2051F" w:rsidP="00794102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584.745,20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E2FD2" w14:textId="77777777" w:rsidR="00C2051F" w:rsidRPr="001938D9" w:rsidRDefault="00C2051F" w:rsidP="00794102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11.558.192,19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D4BBB" w14:textId="77777777" w:rsidR="00C2051F" w:rsidRPr="001938D9" w:rsidRDefault="00C2051F" w:rsidP="00794102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17.667.524,42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F0081" w14:textId="77777777" w:rsidR="00C2051F" w:rsidRPr="001938D9" w:rsidRDefault="00C2051F" w:rsidP="00794102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112.430,88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E317DA" w14:textId="77777777" w:rsidR="00C2051F" w:rsidRPr="001938D9" w:rsidRDefault="00C2051F" w:rsidP="00794102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29.922.892,69</w:t>
            </w:r>
          </w:p>
        </w:tc>
      </w:tr>
      <w:tr w:rsidR="00C2051F" w:rsidRPr="0082552C" w14:paraId="448455AA" w14:textId="77777777" w:rsidTr="00794102">
        <w:trPr>
          <w:trHeight w:val="311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516F38E" w14:textId="79C64E94" w:rsidR="00C2051F" w:rsidRPr="001938D9" w:rsidRDefault="005E4D1F" w:rsidP="0079410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8A4E45" w14:textId="77777777" w:rsidR="00C2051F" w:rsidRPr="001938D9" w:rsidRDefault="00C2051F" w:rsidP="0079410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38D9">
              <w:rPr>
                <w:b/>
                <w:bCs/>
                <w:color w:val="000000"/>
                <w:sz w:val="18"/>
                <w:szCs w:val="18"/>
              </w:rPr>
              <w:t>11.814.580,01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0E98512" w14:textId="77777777" w:rsidR="00C2051F" w:rsidRPr="001938D9" w:rsidRDefault="00C2051F" w:rsidP="0079410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38D9">
              <w:rPr>
                <w:b/>
                <w:bCs/>
                <w:color w:val="000000"/>
                <w:sz w:val="18"/>
                <w:szCs w:val="18"/>
              </w:rPr>
              <w:t>181.538.409,11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A2D728" w14:textId="77777777" w:rsidR="00C2051F" w:rsidRPr="001938D9" w:rsidRDefault="00C2051F" w:rsidP="0079410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38D9">
              <w:rPr>
                <w:b/>
                <w:bCs/>
                <w:color w:val="000000"/>
                <w:sz w:val="18"/>
                <w:szCs w:val="18"/>
              </w:rPr>
              <w:t>67.323.943,62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250EA5" w14:textId="77777777" w:rsidR="00C2051F" w:rsidRPr="001938D9" w:rsidRDefault="00C2051F" w:rsidP="0079410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38D9">
              <w:rPr>
                <w:b/>
                <w:bCs/>
                <w:color w:val="000000"/>
                <w:sz w:val="18"/>
                <w:szCs w:val="18"/>
              </w:rPr>
              <w:t>437.183,38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AFA61C" w14:textId="77777777" w:rsidR="00C2051F" w:rsidRPr="001938D9" w:rsidRDefault="00C2051F" w:rsidP="0079410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38D9">
              <w:rPr>
                <w:b/>
                <w:bCs/>
                <w:color w:val="000000"/>
                <w:sz w:val="18"/>
                <w:szCs w:val="18"/>
              </w:rPr>
              <w:t>261.114.116,12</w:t>
            </w:r>
          </w:p>
        </w:tc>
      </w:tr>
    </w:tbl>
    <w:p w14:paraId="23D73E44" w14:textId="77777777" w:rsidR="00C2051F" w:rsidRPr="001938D9" w:rsidRDefault="00C2051F" w:rsidP="001938D9">
      <w:pPr>
        <w:rPr>
          <w:i/>
          <w:iCs/>
        </w:rPr>
      </w:pPr>
    </w:p>
    <w:p w14:paraId="137C7293" w14:textId="77777777" w:rsidR="00C2051F" w:rsidRPr="00C2051F" w:rsidRDefault="00C2051F" w:rsidP="00C2051F">
      <w:pPr>
        <w:pStyle w:val="ListParagraph"/>
        <w:rPr>
          <w:i/>
          <w:iCs/>
        </w:rPr>
      </w:pPr>
      <w:r>
        <w:rPr>
          <w:noProof/>
        </w:rPr>
        <w:lastRenderedPageBreak/>
        <w:drawing>
          <wp:inline distT="0" distB="0" distL="0" distR="0" wp14:anchorId="27348F94" wp14:editId="7F72B275">
            <wp:extent cx="5464341" cy="3101340"/>
            <wp:effectExtent l="0" t="0" r="3175" b="3810"/>
            <wp:docPr id="52033548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6A18E4B-8A21-760F-7E5E-C557DBB543C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84429E6" w14:textId="58742369" w:rsidR="00C2051F" w:rsidRPr="001938D9" w:rsidRDefault="005E4D1F" w:rsidP="00C2051F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Табеларни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приказ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укупног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броја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додијељених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уговора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преговарачки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поступак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без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објаве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обавјештења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набавци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="00C2051F" w:rsidRPr="001938D9">
        <w:rPr>
          <w:rFonts w:ascii="Times New Roman" w:hAnsi="Times New Roman" w:cs="Times New Roman"/>
        </w:rPr>
        <w:t xml:space="preserve"> 2024. </w:t>
      </w:r>
      <w:r>
        <w:rPr>
          <w:rFonts w:ascii="Times New Roman" w:hAnsi="Times New Roman" w:cs="Times New Roman"/>
        </w:rPr>
        <w:t>години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према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предмету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набавке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нивоу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власти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којем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припада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уговорни</w:t>
      </w:r>
      <w:r w:rsidR="00C2051F" w:rsidRPr="00193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</w:t>
      </w:r>
      <w:r w:rsidR="00C2051F" w:rsidRPr="001938D9">
        <w:rPr>
          <w:rFonts w:ascii="Times New Roman" w:hAnsi="Times New Roman" w:cs="Times New Roman"/>
        </w:rPr>
        <w:t>:</w:t>
      </w:r>
    </w:p>
    <w:p w14:paraId="5A0834BE" w14:textId="77777777" w:rsidR="00C2051F" w:rsidRPr="00C2051F" w:rsidRDefault="00C2051F" w:rsidP="00C2051F">
      <w:pPr>
        <w:ind w:left="360"/>
        <w:jc w:val="both"/>
        <w:rPr>
          <w:i/>
          <w:iCs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1550"/>
        <w:gridCol w:w="1701"/>
        <w:gridCol w:w="1968"/>
        <w:gridCol w:w="1213"/>
        <w:gridCol w:w="1024"/>
        <w:gridCol w:w="1890"/>
      </w:tblGrid>
      <w:tr w:rsidR="00C2051F" w14:paraId="2ABDB995" w14:textId="77777777" w:rsidTr="00794102">
        <w:trPr>
          <w:trHeight w:val="555"/>
        </w:trPr>
        <w:tc>
          <w:tcPr>
            <w:tcW w:w="93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7DC5536" w14:textId="033194C5" w:rsidR="00C2051F" w:rsidRPr="00C2051F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Укупан</w:t>
            </w:r>
            <w:r w:rsidR="00C2051F"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број</w:t>
            </w:r>
            <w:r w:rsidR="00C2051F"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додијељених</w:t>
            </w:r>
            <w:r w:rsidR="00C2051F"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уговора</w:t>
            </w:r>
            <w:r w:rsidR="00C2051F"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C2051F"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преговарачки</w:t>
            </w:r>
            <w:r w:rsidR="00C2051F"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поступак</w:t>
            </w:r>
            <w:r w:rsidR="00C2051F"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 w:rsidR="00C2051F"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објаве</w:t>
            </w:r>
            <w:r w:rsidR="00C2051F"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обавјештења</w:t>
            </w:r>
            <w:r w:rsidR="00C2051F"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C2051F"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набавци</w:t>
            </w:r>
            <w:r w:rsidR="00C2051F"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C2051F"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2024.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години</w:t>
            </w:r>
            <w:r w:rsidR="00C2051F"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према</w:t>
            </w:r>
            <w:r w:rsidR="00C2051F"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предмету</w:t>
            </w:r>
            <w:r w:rsidR="00C2051F"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набавке</w:t>
            </w:r>
            <w:r w:rsidR="00C2051F"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C2051F"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нивоу</w:t>
            </w:r>
            <w:r w:rsidR="00C2051F"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 w:rsidR="00C2051F"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</w:tr>
      <w:tr w:rsidR="00C2051F" w14:paraId="0EA04989" w14:textId="77777777" w:rsidTr="00794102">
        <w:trPr>
          <w:trHeight w:val="491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54F1D" w14:textId="77777777" w:rsidR="00C2051F" w:rsidRPr="00C2051F" w:rsidRDefault="00C2051F" w:rsidP="0079410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8D809" w14:textId="0674D3ED" w:rsidR="00C2051F" w:rsidRPr="00C2051F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БИХ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4BC92" w14:textId="45872BF5" w:rsidR="00C2051F" w:rsidRPr="00C2051F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ФБиХ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2E4B6" w14:textId="622BD95A" w:rsidR="00C2051F" w:rsidRPr="00C2051F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РС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CF262" w14:textId="4FBFFE8F" w:rsidR="00C2051F" w:rsidRPr="00C2051F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3B7265" w14:textId="2E23434F" w:rsidR="00C2051F" w:rsidRPr="00C2051F" w:rsidRDefault="005E4D1F" w:rsidP="007941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Укупно</w:t>
            </w:r>
          </w:p>
        </w:tc>
      </w:tr>
      <w:tr w:rsidR="00C2051F" w14:paraId="200A2579" w14:textId="77777777" w:rsidTr="00794102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1D321" w14:textId="755A2F86" w:rsidR="00C2051F" w:rsidRPr="00C2051F" w:rsidRDefault="005E4D1F" w:rsidP="00794102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Робе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D61F8" w14:textId="77777777" w:rsidR="00C2051F" w:rsidRPr="00C2051F" w:rsidRDefault="00C2051F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725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43DC9" w14:textId="77777777" w:rsidR="00C2051F" w:rsidRPr="00C2051F" w:rsidRDefault="00C2051F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327ED" w14:textId="77777777" w:rsidR="00C2051F" w:rsidRPr="00C2051F" w:rsidRDefault="00C2051F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F9C1D" w14:textId="77777777" w:rsidR="00C2051F" w:rsidRPr="00C2051F" w:rsidRDefault="00C2051F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150FC2" w14:textId="77777777" w:rsidR="00C2051F" w:rsidRPr="00C2051F" w:rsidRDefault="00C2051F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901</w:t>
            </w:r>
          </w:p>
        </w:tc>
      </w:tr>
      <w:tr w:rsidR="00C2051F" w14:paraId="4F567921" w14:textId="77777777" w:rsidTr="00794102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C5BF0" w14:textId="5A9F9EFA" w:rsidR="00C2051F" w:rsidRPr="00C2051F" w:rsidRDefault="005E4D1F" w:rsidP="00794102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FE861" w14:textId="77777777" w:rsidR="00C2051F" w:rsidRPr="00C2051F" w:rsidRDefault="00C2051F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2BFD4" w14:textId="77777777" w:rsidR="00C2051F" w:rsidRPr="00C2051F" w:rsidRDefault="00C2051F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62C1D" w14:textId="77777777" w:rsidR="00C2051F" w:rsidRPr="00C2051F" w:rsidRDefault="00C2051F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7375E" w14:textId="77777777" w:rsidR="00C2051F" w:rsidRPr="00C2051F" w:rsidRDefault="00C2051F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E3DB07" w14:textId="77777777" w:rsidR="00C2051F" w:rsidRPr="00C2051F" w:rsidRDefault="00C2051F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658</w:t>
            </w:r>
          </w:p>
        </w:tc>
      </w:tr>
      <w:tr w:rsidR="00C2051F" w14:paraId="0B2FDCE6" w14:textId="77777777" w:rsidTr="00794102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1BBCF" w14:textId="27738906" w:rsidR="00C2051F" w:rsidRPr="00C2051F" w:rsidRDefault="005E4D1F" w:rsidP="00794102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Радови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EBF59" w14:textId="77777777" w:rsidR="00C2051F" w:rsidRPr="00C2051F" w:rsidRDefault="00C2051F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FC0A6" w14:textId="77777777" w:rsidR="00C2051F" w:rsidRPr="00C2051F" w:rsidRDefault="00C2051F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A24F" w14:textId="77777777" w:rsidR="00C2051F" w:rsidRPr="00C2051F" w:rsidRDefault="00C2051F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569DF" w14:textId="77777777" w:rsidR="00C2051F" w:rsidRPr="00C2051F" w:rsidRDefault="00C2051F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2B5A31" w14:textId="77777777" w:rsidR="00C2051F" w:rsidRPr="00C2051F" w:rsidRDefault="00C2051F" w:rsidP="0079410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291</w:t>
            </w:r>
          </w:p>
        </w:tc>
      </w:tr>
      <w:tr w:rsidR="00C2051F" w14:paraId="3E9AAAC8" w14:textId="77777777" w:rsidTr="00794102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3A27E4" w14:textId="599051AA" w:rsidR="00C2051F" w:rsidRPr="00C2051F" w:rsidRDefault="005E4D1F" w:rsidP="0079410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019227B" w14:textId="77777777" w:rsidR="00C2051F" w:rsidRPr="00C2051F" w:rsidRDefault="00C2051F" w:rsidP="0079410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969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4C9B8E" w14:textId="77777777" w:rsidR="00C2051F" w:rsidRPr="00C2051F" w:rsidRDefault="00C2051F" w:rsidP="0079410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F86C61" w14:textId="77777777" w:rsidR="00C2051F" w:rsidRPr="00C2051F" w:rsidRDefault="00C2051F" w:rsidP="0079410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355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629E41" w14:textId="77777777" w:rsidR="00C2051F" w:rsidRPr="00C2051F" w:rsidRDefault="00C2051F" w:rsidP="0079410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5DF55C" w14:textId="77777777" w:rsidR="00C2051F" w:rsidRPr="00C2051F" w:rsidRDefault="00C2051F" w:rsidP="0079410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1.850</w:t>
            </w:r>
          </w:p>
        </w:tc>
      </w:tr>
    </w:tbl>
    <w:p w14:paraId="4E9684C3" w14:textId="77777777" w:rsidR="00C2051F" w:rsidRPr="00C2051F" w:rsidRDefault="00C2051F" w:rsidP="001938D9">
      <w:pPr>
        <w:pStyle w:val="ListParagraph"/>
        <w:jc w:val="both"/>
        <w:rPr>
          <w:i/>
          <w:iCs/>
        </w:rPr>
      </w:pPr>
    </w:p>
    <w:p w14:paraId="7F6FF8F7" w14:textId="77777777" w:rsidR="00C2051F" w:rsidRPr="00C2051F" w:rsidRDefault="00C2051F" w:rsidP="001938D9">
      <w:pPr>
        <w:pStyle w:val="ListParagraph"/>
        <w:jc w:val="both"/>
        <w:rPr>
          <w:i/>
          <w:iCs/>
        </w:rPr>
      </w:pPr>
    </w:p>
    <w:p w14:paraId="05AF0A8E" w14:textId="77777777" w:rsidR="00C2051F" w:rsidRPr="00C2051F" w:rsidRDefault="00C2051F" w:rsidP="001938D9">
      <w:pPr>
        <w:pStyle w:val="ListParagraph"/>
        <w:ind w:right="4"/>
        <w:jc w:val="both"/>
        <w:rPr>
          <w:i/>
          <w:iCs/>
        </w:rPr>
      </w:pPr>
      <w:r>
        <w:rPr>
          <w:noProof/>
        </w:rPr>
        <w:lastRenderedPageBreak/>
        <w:drawing>
          <wp:inline distT="0" distB="0" distL="0" distR="0" wp14:anchorId="6B863A1D" wp14:editId="1770686B">
            <wp:extent cx="5857240" cy="2787091"/>
            <wp:effectExtent l="0" t="0" r="10160" b="13335"/>
            <wp:docPr id="70310606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56B576E-EBF2-7178-8071-83305FE97D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0145641" w14:textId="77777777" w:rsidR="00C2051F" w:rsidRPr="0021204D" w:rsidRDefault="00C2051F" w:rsidP="00C20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C03DED" w14:textId="1ABF6893" w:rsidR="0021204D" w:rsidRPr="0021204D" w:rsidRDefault="005E4D1F" w:rsidP="00AF52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Видљив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раст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удјела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нивоа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БиХ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ФБиХ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ПБО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РС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процентуално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пада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Ипак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ПБО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остаје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концентрисан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неколико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великих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уговорних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A1480CB" w14:textId="614AFC87" w:rsidR="0021204D" w:rsidRPr="0021204D" w:rsidRDefault="005E4D1F" w:rsidP="00212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б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Сектори</w:t>
      </w:r>
    </w:p>
    <w:p w14:paraId="6F9DC176" w14:textId="33B806A4" w:rsidR="0021204D" w:rsidRPr="0021204D" w:rsidRDefault="005E4D1F" w:rsidP="00747F8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Радови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: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даље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висок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ниво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концентрације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низак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поготово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ПБО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1213C448" w14:textId="25070FDF" w:rsidR="0021204D" w:rsidRPr="0021204D" w:rsidRDefault="005E4D1F" w:rsidP="00747F8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Здравство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FE64DA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Анекс II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: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смањење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јасна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промјена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структуре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1B5DADBD" w14:textId="3257B370" w:rsidR="0021204D" w:rsidRPr="0021204D" w:rsidRDefault="005E4D1F" w:rsidP="00747F8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Комунални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сектор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енергија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: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локални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монополисти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повезана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јавна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предузећа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даље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доминирају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73DEEC3F" w14:textId="663C9550" w:rsidR="0021204D" w:rsidRPr="0021204D" w:rsidRDefault="0021204D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1A1CC1" w14:textId="53A7853E" w:rsidR="0021204D" w:rsidRPr="0021204D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4.5.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Концентрација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вриједности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(2024)</w:t>
      </w:r>
    </w:p>
    <w:p w14:paraId="66CDF94B" w14:textId="521C921F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Групе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понуђача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6E1A2A4" w14:textId="58817F37" w:rsidR="0021204D" w:rsidRPr="0021204D" w:rsidRDefault="0021204D" w:rsidP="00747F8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843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уговора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(0,31%)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192932BD" w14:textId="7FF56799" w:rsidR="0021204D" w:rsidRPr="0021204D" w:rsidRDefault="0021204D" w:rsidP="00747F8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777.328.858,15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КМ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, ≈ 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15,22%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укупне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вриједности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C8C493C" w14:textId="52F3E26C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Удио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група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поново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повећава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11,89%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15,22%),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што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указује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0CE27511" w14:textId="65B2BABA" w:rsidR="0021204D" w:rsidRPr="0021204D" w:rsidRDefault="005E4D1F" w:rsidP="00747F8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консолидацију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великих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пројеката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рукама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ограниченог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консорција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66B1C0B9" w14:textId="7FD48376" w:rsidR="0021204D" w:rsidRPr="0021204D" w:rsidRDefault="005E4D1F" w:rsidP="00747F8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континуирану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баријеру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МСП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могу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самостално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конкурисати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4C3B7836" w14:textId="0367AACA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Оквирни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споразуми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07F84E3" w14:textId="0DDDA836" w:rsidR="0021204D" w:rsidRPr="0021204D" w:rsidRDefault="0021204D" w:rsidP="00747F8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1.242.239.140,26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КМ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око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27,33%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вриједности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FE64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Поглавља I и V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односно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≈ 24,31%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свих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уговора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19C710" w14:textId="0FEC913A" w:rsidR="0021204D" w:rsidRPr="0021204D" w:rsidRDefault="005E4D1F" w:rsidP="00747F8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оквирни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споразуми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постају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трајно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централни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инструмент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великим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позитивним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потенцијалом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високим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ризиком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затварања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дужи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период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12F69F69" w14:textId="5E2A5DD1" w:rsidR="0021204D" w:rsidRPr="0021204D" w:rsidRDefault="0021204D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4E3685" w14:textId="7578BA4E" w:rsidR="0021204D" w:rsidRPr="0021204D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4.6.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Поништавање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поступака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(2024)</w:t>
      </w:r>
    </w:p>
    <w:p w14:paraId="458E48B5" w14:textId="3E391DBB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Уз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стабилизацију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разлози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поништавања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благо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мијењају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7E883106" w14:textId="344F8F3B" w:rsidR="0021204D" w:rsidRPr="0021204D" w:rsidRDefault="005E4D1F" w:rsidP="00747F8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мање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поништавања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због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преласка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буџета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49CDBB40" w14:textId="6CC3901D" w:rsidR="0021204D" w:rsidRPr="0021204D" w:rsidRDefault="005E4D1F" w:rsidP="00747F8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даље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велики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без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или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неприхватљивим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понудама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74955AB1" w14:textId="26DC2A8C" w:rsidR="0021204D" w:rsidRPr="0021204D" w:rsidRDefault="005E4D1F" w:rsidP="00747F8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даље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присутне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грешке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документацији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476931F4" w14:textId="35D67E95" w:rsidR="0021204D" w:rsidRPr="00F43886" w:rsidRDefault="005E4D1F" w:rsidP="00F43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Ефекат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: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поред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благог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опоравка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конкуренције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појединим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сегментима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даље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трпи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због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недовољног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планирања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услова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који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нису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усклађени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реалним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капацитетима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тржишта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Посљедица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конкуренција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може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стабилизовати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јер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тржиште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реагује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слабим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одзивом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поступке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који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су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преамбициозно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дефинисани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временски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лоше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темпирани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или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технички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неадекватно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структурирани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Тиме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одржава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хронично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низак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продужава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период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смањеног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конкурентског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притиска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цијелом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систему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9AE4531" w14:textId="08106A10" w:rsidR="0021204D" w:rsidRPr="0021204D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4.7.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Додатни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фактори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(2024)</w:t>
      </w:r>
    </w:p>
    <w:p w14:paraId="1DA143B1" w14:textId="534F94AB" w:rsidR="0021204D" w:rsidRPr="0021204D" w:rsidRDefault="005E4D1F" w:rsidP="00747F8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е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аукције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: 14.580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аукција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13.939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уштеда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≈ 124,85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мил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КМ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AE9D70" w14:textId="4331B7AC" w:rsidR="0021204D" w:rsidRPr="0021204D" w:rsidRDefault="005E4D1F" w:rsidP="00747F81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уштеда</w:t>
      </w:r>
      <w:r w:rsidR="0021204D" w:rsidRPr="0021204D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је</w:t>
      </w:r>
      <w:r w:rsidR="0021204D" w:rsidRPr="0021204D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већа</w:t>
      </w:r>
      <w:r w:rsidR="0021204D" w:rsidRPr="0021204D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него</w:t>
      </w:r>
      <w:r w:rsidR="0021204D" w:rsidRPr="0021204D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2023,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што</w:t>
      </w:r>
      <w:r w:rsidR="0021204D" w:rsidRPr="0021204D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је</w:t>
      </w:r>
      <w:r w:rsidR="0021204D" w:rsidRPr="0021204D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резултат</w:t>
      </w:r>
      <w:r w:rsidR="0021204D" w:rsidRPr="0021204D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:</w:t>
      </w:r>
    </w:p>
    <w:p w14:paraId="1BDABE1C" w14:textId="330510D3" w:rsidR="0021204D" w:rsidRPr="0021204D" w:rsidRDefault="005E4D1F" w:rsidP="00747F81">
      <w:pPr>
        <w:numPr>
          <w:ilvl w:val="2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нешто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већег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броја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учесника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1BC0BA5" w14:textId="71895B1C" w:rsidR="0021204D" w:rsidRPr="0021204D" w:rsidRDefault="005E4D1F" w:rsidP="00747F81">
      <w:pPr>
        <w:numPr>
          <w:ilvl w:val="2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боље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припреме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референтних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цијена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појединим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секторима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61779C2" w14:textId="77807CB8" w:rsidR="0021204D" w:rsidRPr="0021204D" w:rsidRDefault="005E4D1F" w:rsidP="00747F8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Заједничке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набавке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: 14.749.848,83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КМ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(0,29%)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даље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врло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низак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ниво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двоструко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већи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удио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него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2023.</w:t>
      </w:r>
    </w:p>
    <w:p w14:paraId="1DA6BF86" w14:textId="30705387" w:rsidR="0021204D" w:rsidRPr="0021204D" w:rsidRDefault="005E4D1F" w:rsidP="00747F81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сигнал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лаганог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буђења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концепта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заједничких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10E4C6D" w14:textId="2969E2B1" w:rsidR="0021204D" w:rsidRPr="0021204D" w:rsidRDefault="0021204D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96B5C8" w14:textId="3DE5E9D7" w:rsidR="0021204D" w:rsidRPr="0021204D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4.8.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Кључни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налаз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за</w:t>
      </w: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2024.</w:t>
      </w:r>
    </w:p>
    <w:p w14:paraId="7CC89EBB" w14:textId="4FCF9C38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Година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2024.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доноси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благо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побољшање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односу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2023,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2D0B03BB" w14:textId="6EDA18D0" w:rsidR="0021204D" w:rsidRPr="00810B4A" w:rsidRDefault="005E4D1F" w:rsidP="0081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hAnsi="Times New Roman" w:cs="Times New Roman"/>
          <w:lang w:val="pt-BR"/>
        </w:rPr>
        <w:t>Иако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се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810B4A" w:rsidRPr="00810B4A">
        <w:rPr>
          <w:rFonts w:ascii="Times New Roman" w:hAnsi="Times New Roman" w:cs="Times New Roman"/>
          <w:lang w:val="pt-BR"/>
        </w:rPr>
        <w:t xml:space="preserve"> 2023. </w:t>
      </w:r>
      <w:r>
        <w:rPr>
          <w:rFonts w:ascii="Times New Roman" w:hAnsi="Times New Roman" w:cs="Times New Roman"/>
          <w:lang w:val="pt-BR"/>
        </w:rPr>
        <w:t>години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биљежи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дјелимичан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опоравак</w:t>
      </w:r>
      <w:r w:rsidR="00810B4A" w:rsidRPr="00810B4A">
        <w:rPr>
          <w:rFonts w:ascii="Times New Roman" w:hAnsi="Times New Roman" w:cs="Times New Roman"/>
          <w:lang w:val="pt-BR"/>
        </w:rPr>
        <w:t xml:space="preserve">, </w:t>
      </w:r>
      <w:r>
        <w:rPr>
          <w:rFonts w:ascii="Times New Roman" w:hAnsi="Times New Roman" w:cs="Times New Roman"/>
          <w:lang w:val="pt-BR"/>
        </w:rPr>
        <w:t>конкуренција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остаје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недовољна</w:t>
      </w:r>
      <w:r w:rsidR="00810B4A" w:rsidRPr="00810B4A">
        <w:rPr>
          <w:rFonts w:ascii="Times New Roman" w:hAnsi="Times New Roman" w:cs="Times New Roman"/>
          <w:lang w:val="pt-BR"/>
        </w:rPr>
        <w:t xml:space="preserve"> – </w:t>
      </w:r>
      <w:r>
        <w:rPr>
          <w:rFonts w:ascii="Times New Roman" w:hAnsi="Times New Roman" w:cs="Times New Roman"/>
          <w:lang w:val="pt-BR"/>
        </w:rPr>
        <w:t>просјечно</w:t>
      </w:r>
      <w:r w:rsidR="00810B4A" w:rsidRPr="00810B4A">
        <w:rPr>
          <w:rFonts w:ascii="Times New Roman" w:hAnsi="Times New Roman" w:cs="Times New Roman"/>
          <w:lang w:val="pt-BR"/>
        </w:rPr>
        <w:t xml:space="preserve"> 1,75 </w:t>
      </w:r>
      <w:r>
        <w:rPr>
          <w:rFonts w:ascii="Times New Roman" w:hAnsi="Times New Roman" w:cs="Times New Roman"/>
          <w:lang w:val="pt-BR"/>
        </w:rPr>
        <w:t>понуда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даље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је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испод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минималног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прага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за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стабилно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тржишно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такмичење</w:t>
      </w:r>
      <w:r w:rsidR="00810B4A" w:rsidRPr="00810B4A">
        <w:rPr>
          <w:rFonts w:ascii="Times New Roman" w:hAnsi="Times New Roman" w:cs="Times New Roman"/>
          <w:lang w:val="pt-BR"/>
        </w:rPr>
        <w:t xml:space="preserve">. </w:t>
      </w:r>
      <w:r>
        <w:rPr>
          <w:rFonts w:ascii="Times New Roman" w:hAnsi="Times New Roman" w:cs="Times New Roman"/>
          <w:lang w:val="pt-BR"/>
        </w:rPr>
        <w:t>Преговарачки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поступци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без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објаве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директни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споразуми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остају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међу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највећим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ризицима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за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конкуренцију</w:t>
      </w:r>
      <w:r w:rsidR="00810B4A" w:rsidRPr="00810B4A">
        <w:rPr>
          <w:rFonts w:ascii="Times New Roman" w:hAnsi="Times New Roman" w:cs="Times New Roman"/>
          <w:lang w:val="pt-BR"/>
        </w:rPr>
        <w:t xml:space="preserve">, </w:t>
      </w:r>
      <w:r>
        <w:rPr>
          <w:rFonts w:ascii="Times New Roman" w:hAnsi="Times New Roman" w:cs="Times New Roman"/>
          <w:lang w:val="pt-BR"/>
        </w:rPr>
        <w:t>јер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генеришу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процесе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са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минималним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или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никаквим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тржишним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надметањем</w:t>
      </w:r>
      <w:r w:rsidR="00810B4A" w:rsidRPr="00810B4A">
        <w:rPr>
          <w:rFonts w:ascii="Times New Roman" w:hAnsi="Times New Roman" w:cs="Times New Roman"/>
          <w:lang w:val="pt-BR"/>
        </w:rPr>
        <w:t xml:space="preserve">. </w:t>
      </w:r>
      <w:r>
        <w:rPr>
          <w:rFonts w:ascii="Times New Roman" w:hAnsi="Times New Roman" w:cs="Times New Roman"/>
          <w:lang w:val="pt-BR"/>
        </w:rPr>
        <w:t>Истовремено</w:t>
      </w:r>
      <w:r w:rsidR="00810B4A" w:rsidRPr="00810B4A">
        <w:rPr>
          <w:rFonts w:ascii="Times New Roman" w:hAnsi="Times New Roman" w:cs="Times New Roman"/>
          <w:lang w:val="pt-BR"/>
        </w:rPr>
        <w:t xml:space="preserve">, </w:t>
      </w:r>
      <w:r>
        <w:rPr>
          <w:rFonts w:ascii="Times New Roman" w:hAnsi="Times New Roman" w:cs="Times New Roman"/>
          <w:lang w:val="pt-BR"/>
        </w:rPr>
        <w:t>концентрација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вриједности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тржишне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моћи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остаје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висока</w:t>
      </w:r>
      <w:r w:rsidR="00810B4A" w:rsidRPr="00810B4A">
        <w:rPr>
          <w:rFonts w:ascii="Times New Roman" w:hAnsi="Times New Roman" w:cs="Times New Roman"/>
          <w:lang w:val="pt-BR"/>
        </w:rPr>
        <w:t xml:space="preserve">, </w:t>
      </w:r>
      <w:r>
        <w:rPr>
          <w:rFonts w:ascii="Times New Roman" w:hAnsi="Times New Roman" w:cs="Times New Roman"/>
          <w:lang w:val="pt-BR"/>
        </w:rPr>
        <w:t>што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указује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на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lastRenderedPageBreak/>
        <w:t>доминацију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ограниченог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броја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великих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добављача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кључним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секторима</w:t>
      </w:r>
      <w:r w:rsidR="00810B4A" w:rsidRPr="00810B4A">
        <w:rPr>
          <w:rFonts w:ascii="Times New Roman" w:hAnsi="Times New Roman" w:cs="Times New Roman"/>
          <w:lang w:val="pt-BR"/>
        </w:rPr>
        <w:t xml:space="preserve">. </w:t>
      </w:r>
      <w:r>
        <w:rPr>
          <w:rFonts w:ascii="Times New Roman" w:hAnsi="Times New Roman" w:cs="Times New Roman"/>
          <w:lang w:val="pt-BR"/>
        </w:rPr>
        <w:t>Централизиране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набавке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ни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810B4A" w:rsidRPr="00810B4A">
        <w:rPr>
          <w:rFonts w:ascii="Times New Roman" w:hAnsi="Times New Roman" w:cs="Times New Roman"/>
          <w:lang w:val="pt-BR"/>
        </w:rPr>
        <w:t xml:space="preserve"> 2023. </w:t>
      </w:r>
      <w:r>
        <w:rPr>
          <w:rFonts w:ascii="Times New Roman" w:hAnsi="Times New Roman" w:cs="Times New Roman"/>
          <w:lang w:val="pt-BR"/>
        </w:rPr>
        <w:t>години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нису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искориштене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у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пуном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потенцијалу</w:t>
      </w:r>
      <w:r w:rsidR="00810B4A" w:rsidRPr="00810B4A">
        <w:rPr>
          <w:rFonts w:ascii="Times New Roman" w:hAnsi="Times New Roman" w:cs="Times New Roman"/>
          <w:lang w:val="pt-BR"/>
        </w:rPr>
        <w:t xml:space="preserve">, </w:t>
      </w:r>
      <w:r>
        <w:rPr>
          <w:rFonts w:ascii="Times New Roman" w:hAnsi="Times New Roman" w:cs="Times New Roman"/>
          <w:lang w:val="pt-BR"/>
        </w:rPr>
        <w:t>те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не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остварују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системски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ефекат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на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раст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конкуренције</w:t>
      </w:r>
      <w:r w:rsidR="00810B4A" w:rsidRPr="00810B4A">
        <w:rPr>
          <w:rFonts w:ascii="Times New Roman" w:hAnsi="Times New Roman" w:cs="Times New Roman"/>
          <w:lang w:val="pt-BR"/>
        </w:rPr>
        <w:t xml:space="preserve">, </w:t>
      </w:r>
      <w:r>
        <w:rPr>
          <w:rFonts w:ascii="Times New Roman" w:hAnsi="Times New Roman" w:cs="Times New Roman"/>
          <w:lang w:val="pt-BR"/>
        </w:rPr>
        <w:t>стандардизацију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и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јачање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тржишног</w:t>
      </w:r>
      <w:r w:rsidR="00810B4A" w:rsidRPr="00810B4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притиска</w:t>
      </w:r>
      <w:r w:rsidR="00810B4A" w:rsidRPr="00810B4A">
        <w:rPr>
          <w:rFonts w:ascii="Times New Roman" w:hAnsi="Times New Roman" w:cs="Times New Roman"/>
          <w:lang w:val="pt-BR"/>
        </w:rPr>
        <w:t>.</w:t>
      </w:r>
      <w:r w:rsidR="0021204D" w:rsidRPr="00810B4A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1A9AF99F" w14:textId="1A5DF9A3" w:rsidR="0021204D" w:rsidRPr="0021204D" w:rsidRDefault="0021204D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6716B0" w14:textId="5292598B" w:rsidR="0021204D" w:rsidRPr="005233A7" w:rsidRDefault="0021204D" w:rsidP="002120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5233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 xml:space="preserve">5. </w:t>
      </w:r>
      <w:r w:rsidR="005E4D1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Компаративни</w:t>
      </w:r>
      <w:r w:rsidRPr="005233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преглед</w:t>
      </w:r>
      <w:r w:rsidRPr="005233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 xml:space="preserve"> 2022–2024. </w:t>
      </w:r>
      <w:r w:rsidR="005E4D1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и</w:t>
      </w:r>
      <w:r w:rsidRPr="005233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кључни</w:t>
      </w:r>
      <w:r w:rsidRPr="005233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налази</w:t>
      </w:r>
    </w:p>
    <w:p w14:paraId="7C117C2D" w14:textId="3F8FD75A" w:rsidR="000F13D3" w:rsidRPr="000F13D3" w:rsidRDefault="000F13D3" w:rsidP="000F13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233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1.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Просјечан</w:t>
      </w:r>
      <w:r w:rsidRPr="005233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број</w:t>
      </w:r>
      <w:r w:rsidRPr="005233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понуда</w:t>
      </w:r>
      <w:r w:rsidRPr="005233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–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пад</w:t>
      </w:r>
      <w:r w:rsidRPr="005233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,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дно</w:t>
      </w:r>
      <w:r w:rsidRPr="005233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,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па</w:t>
      </w:r>
      <w:r w:rsidRPr="005233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скроман</w:t>
      </w:r>
      <w:r w:rsidRPr="005233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опоравак</w:t>
      </w:r>
    </w:p>
    <w:p w14:paraId="45D5C06F" w14:textId="24B9B19D" w:rsidR="000F13D3" w:rsidRPr="000F13D3" w:rsidRDefault="005E4D1F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Тренд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3444465B" w14:textId="7B25839F" w:rsidR="000F13D3" w:rsidRPr="000F13D3" w:rsidRDefault="000F13D3" w:rsidP="00747F8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2022: 2,14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понуда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→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још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увијек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релативно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стабилан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просјек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A4BD758" w14:textId="02C8F9A9" w:rsidR="000F13D3" w:rsidRPr="000F13D3" w:rsidRDefault="000F13D3" w:rsidP="00747F8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2023: 1,62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понуде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→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најниже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посљедњој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деценији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A910CFC" w14:textId="0784336E" w:rsidR="000F13D3" w:rsidRPr="000F13D3" w:rsidRDefault="000F13D3" w:rsidP="00747F8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2024: 1,75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понуда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→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благи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опоравак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али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даље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пренизак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0B043318" w14:textId="5E9A4C85" w:rsidR="00981AC7" w:rsidRDefault="005E4D1F" w:rsidP="000E06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Аналитичка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порука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:</w:t>
      </w:r>
    </w:p>
    <w:p w14:paraId="79ABD3FE" w14:textId="5FF6C34F" w:rsidR="000F13D3" w:rsidRPr="000F13D3" w:rsidRDefault="005E4D1F" w:rsidP="000E06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2023.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године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ушао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зону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дубоке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структурне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ерозије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конкуренције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2024.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није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вратио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ниво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2022,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што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значи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опоравља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врло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споро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су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конкурентски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капацитети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дугорочно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нарушени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4FF0BD2B" w14:textId="374B0542" w:rsidR="000F13D3" w:rsidRPr="000F13D3" w:rsidRDefault="005E4D1F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Шта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то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конкретно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значи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61960B3D" w14:textId="1B458CF4" w:rsidR="000F13D3" w:rsidRPr="000F13D3" w:rsidRDefault="000F13D3" w:rsidP="00747F81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1–2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понуде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просјеку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=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нема</w:t>
      </w:r>
      <w:r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реалног</w:t>
      </w:r>
      <w:r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надметања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нема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обарања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цијена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5439FD39" w14:textId="226539FF" w:rsidR="000F13D3" w:rsidRPr="000F13D3" w:rsidRDefault="005E4D1F" w:rsidP="00747F81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затвара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”,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улазак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нових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фирми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постаје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ограничен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4FB45A49" w14:textId="04C630E4" w:rsidR="000F13D3" w:rsidRPr="000F13D3" w:rsidRDefault="005E4D1F" w:rsidP="00747F81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Ефекат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видљив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расту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цијена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мањку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алтернативе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уговорне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органе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4F86F8B" w14:textId="77777777" w:rsidR="000F13D3" w:rsidRPr="000F13D3" w:rsidRDefault="003D667E" w:rsidP="000F13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560D45A">
          <v:rect id="_x0000_i1025" style="width:0;height:1.5pt" o:hralign="center" o:hrstd="t" o:hr="t" fillcolor="#a0a0a0" stroked="f"/>
        </w:pict>
      </w:r>
    </w:p>
    <w:p w14:paraId="59DC1D35" w14:textId="5141322D" w:rsidR="000F13D3" w:rsidRPr="000F13D3" w:rsidRDefault="000F13D3" w:rsidP="000F13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2. </w:t>
      </w:r>
      <w:r w:rsidR="00FE64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Поглавље V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–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огромни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административни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волумен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,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минимална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конкуренција</w:t>
      </w:r>
    </w:p>
    <w:p w14:paraId="6C5961CD" w14:textId="17C4A6E0" w:rsidR="000F13D3" w:rsidRPr="000F13D3" w:rsidRDefault="005E4D1F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Удио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броју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уговора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3C09F6B9" w14:textId="00D1143A" w:rsidR="000F13D3" w:rsidRPr="000F13D3" w:rsidRDefault="000F13D3" w:rsidP="00747F8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61–64%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свих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уговора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систему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54AFDC8" w14:textId="106D293E" w:rsidR="000F13D3" w:rsidRPr="000F13D3" w:rsidRDefault="005E4D1F" w:rsidP="00747F8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Директни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споразуми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чине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82–86%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свих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уговора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Поглављу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F6D50D" w14:textId="3EF14CC1" w:rsidR="000F13D3" w:rsidRPr="000F13D3" w:rsidRDefault="005E4D1F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Просјек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понуда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≈ 1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понуда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0057FCB6" w14:textId="1560E2AC" w:rsidR="000F13D3" w:rsidRPr="000F13D3" w:rsidRDefault="005E4D1F" w:rsidP="00FC2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Аналитичка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порука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FE64DA">
        <w:rPr>
          <w:rFonts w:ascii="Times New Roman" w:eastAsia="Times New Roman" w:hAnsi="Times New Roman" w:cs="Times New Roman"/>
          <w:kern w:val="0"/>
          <w14:ligatures w14:val="none"/>
        </w:rPr>
        <w:t>Поглавље V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функционише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као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фабрика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уговора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”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али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конкуренције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Обим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огроман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одвија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процедурама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готово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укључују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надметање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4A86934E" w14:textId="5698E46B" w:rsidR="000F13D3" w:rsidRPr="000F13D3" w:rsidRDefault="005E4D1F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Конкретне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посљедице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7CDF23A" w14:textId="081FB1BC" w:rsidR="000F13D3" w:rsidRPr="000F13D3" w:rsidRDefault="005E4D1F" w:rsidP="00747F8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административно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преоптерећује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без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ефекта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2D26999" w14:textId="1688B27A" w:rsidR="000F13D3" w:rsidRPr="000F13D3" w:rsidRDefault="005E4D1F" w:rsidP="00747F8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Велики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пролази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потпуно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без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такмичења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→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ризик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прецијењених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7D29D3D7" w14:textId="1F8B0DD2" w:rsidR="000F13D3" w:rsidRPr="000F13D3" w:rsidRDefault="00FE64DA" w:rsidP="00747F8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Поглавље V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потискује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праве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конкурентске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поступке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8B0E753" w14:textId="38D3B28C" w:rsidR="000F13D3" w:rsidRPr="000F13D3" w:rsidRDefault="000F13D3" w:rsidP="000F13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A73DAF" w14:textId="06B93994" w:rsidR="000F13D3" w:rsidRPr="000F13D3" w:rsidRDefault="000F13D3" w:rsidP="000F13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de-DE"/>
          <w14:ligatures w14:val="none"/>
        </w:rPr>
      </w:pP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de-DE"/>
          <w14:ligatures w14:val="none"/>
        </w:rPr>
        <w:t xml:space="preserve">3. </w:t>
      </w:r>
      <w:r w:rsidR="00FE64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de-DE"/>
          <w14:ligatures w14:val="none"/>
        </w:rPr>
        <w:t>Анекс II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de-DE"/>
          <w14:ligatures w14:val="none"/>
        </w:rPr>
        <w:t xml:space="preserve"> –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de-DE"/>
          <w14:ligatures w14:val="none"/>
        </w:rPr>
        <w:t>структурно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de-DE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de-DE"/>
          <w14:ligatures w14:val="none"/>
        </w:rPr>
        <w:t>ниска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de-DE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de-DE"/>
          <w14:ligatures w14:val="none"/>
        </w:rPr>
        <w:t>конкуренција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de-DE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de-DE"/>
          <w14:ligatures w14:val="none"/>
        </w:rPr>
        <w:t>у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de-DE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de-DE"/>
          <w14:ligatures w14:val="none"/>
        </w:rPr>
        <w:t>све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de-DE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de-DE"/>
          <w14:ligatures w14:val="none"/>
        </w:rPr>
        <w:t>три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de-DE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de-DE"/>
          <w14:ligatures w14:val="none"/>
        </w:rPr>
        <w:t>године</w:t>
      </w:r>
    </w:p>
    <w:p w14:paraId="3BF636F2" w14:textId="7D070B44" w:rsidR="000F13D3" w:rsidRPr="000F13D3" w:rsidRDefault="005E4D1F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Уочени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обрасци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6FA6A99E" w14:textId="11355BB4" w:rsidR="000F13D3" w:rsidRPr="000F13D3" w:rsidRDefault="000F13D3" w:rsidP="00747F8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2023: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раст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вриједности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7C60C14" w14:textId="0EF60E6B" w:rsidR="000F13D3" w:rsidRPr="000F13D3" w:rsidRDefault="000F13D3" w:rsidP="00747F8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2024: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пад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вриједности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али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конкуренција</w:t>
      </w:r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не</w:t>
      </w:r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расте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3CA5ADF" w14:textId="738B69D2" w:rsidR="000F13D3" w:rsidRPr="000F13D3" w:rsidRDefault="005E4D1F" w:rsidP="00747F8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свим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годинама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мали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лиценцираних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специјализираних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750CDD4C" w14:textId="09E256DB" w:rsidR="000F13D3" w:rsidRPr="000F13D3" w:rsidRDefault="005E4D1F" w:rsidP="00747F8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Доминирају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фирме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здравства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социјалних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услуга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0992A6F9" w14:textId="32D2ACE0" w:rsidR="000F13D3" w:rsidRPr="000F13D3" w:rsidRDefault="005E4D1F" w:rsidP="00FC2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Аналитичка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порука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: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</w:r>
      <w:r w:rsidR="00FE64DA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Анекс II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инхерентним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тржишним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ограничењем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мали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субјеката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могу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испунити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специфичне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увјете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Зато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трајно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ниска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изразито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концентрисано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5A1C4365" w14:textId="6B3828FC" w:rsidR="000F13D3" w:rsidRPr="000F13D3" w:rsidRDefault="005E4D1F" w:rsidP="00FC2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Конкретна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импликација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: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здравства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један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највећих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генератора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сингле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бид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цијелом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систему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09526897" w14:textId="09C3D51F" w:rsidR="000F13D3" w:rsidRPr="000F13D3" w:rsidRDefault="000F13D3" w:rsidP="000E060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8315BD" w14:textId="05E1F95B" w:rsidR="000F13D3" w:rsidRPr="000F13D3" w:rsidRDefault="000F13D3" w:rsidP="000F13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4.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Висока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концентрација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вриједности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–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тржиште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под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контролом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малог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броја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добављача</w:t>
      </w:r>
    </w:p>
    <w:p w14:paraId="74E5C5EE" w14:textId="73F15838" w:rsidR="000F13D3" w:rsidRPr="000F13D3" w:rsidRDefault="005E4D1F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Удио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вриједности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који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држе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групе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понуђача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DE7263C" w14:textId="77777777" w:rsidR="000F13D3" w:rsidRPr="000F13D3" w:rsidRDefault="000F13D3" w:rsidP="00747F8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13D3">
        <w:rPr>
          <w:rFonts w:ascii="Times New Roman" w:eastAsia="Times New Roman" w:hAnsi="Times New Roman" w:cs="Times New Roman"/>
          <w:kern w:val="0"/>
          <w14:ligatures w14:val="none"/>
        </w:rPr>
        <w:t>2022: 20,84%</w:t>
      </w:r>
    </w:p>
    <w:p w14:paraId="17B29F7F" w14:textId="77777777" w:rsidR="000F13D3" w:rsidRPr="000F13D3" w:rsidRDefault="000F13D3" w:rsidP="00747F8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13D3">
        <w:rPr>
          <w:rFonts w:ascii="Times New Roman" w:eastAsia="Times New Roman" w:hAnsi="Times New Roman" w:cs="Times New Roman"/>
          <w:kern w:val="0"/>
          <w14:ligatures w14:val="none"/>
        </w:rPr>
        <w:t>2023: 11,89%</w:t>
      </w:r>
    </w:p>
    <w:p w14:paraId="3A9D7A7E" w14:textId="77777777" w:rsidR="000F13D3" w:rsidRPr="000F13D3" w:rsidRDefault="000F13D3" w:rsidP="00747F8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13D3">
        <w:rPr>
          <w:rFonts w:ascii="Times New Roman" w:eastAsia="Times New Roman" w:hAnsi="Times New Roman" w:cs="Times New Roman"/>
          <w:kern w:val="0"/>
          <w14:ligatures w14:val="none"/>
        </w:rPr>
        <w:t>2024: 15,22%</w:t>
      </w:r>
    </w:p>
    <w:p w14:paraId="467105D2" w14:textId="504C0635" w:rsidR="000F13D3" w:rsidRPr="000F13D3" w:rsidRDefault="005E4D1F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Оквирни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споразуми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носили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24–27%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укупне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вриједности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78F91F27" w14:textId="16D7B706" w:rsidR="000F13D3" w:rsidRPr="000F13D3" w:rsidRDefault="005E4D1F" w:rsidP="00FC2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Аналитичка</w:t>
      </w:r>
      <w:r w:rsidR="000E06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порука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t>Иако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удјели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мијењају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тржиште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је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све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три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године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високо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концентрирано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14:ligatures w14:val="none"/>
        </w:rPr>
        <w:t>Кључне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вриједносне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токове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држи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мали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број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великих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играча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посебно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радовима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комуналијама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здравству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2D2185" w14:textId="2F3AA8A6" w:rsidR="000F13D3" w:rsidRPr="000F13D3" w:rsidRDefault="005E4D1F" w:rsidP="000E06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Ефекат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концентрације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466B92A7" w14:textId="3AA3EB6F" w:rsidR="000F13D3" w:rsidRPr="000F13D3" w:rsidRDefault="005E4D1F" w:rsidP="00747F81">
      <w:pPr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Смањена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еластичност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цијена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E5F85F" w14:textId="59CA3616" w:rsidR="000F13D3" w:rsidRPr="000F13D3" w:rsidRDefault="005E4D1F" w:rsidP="00747F81">
      <w:pPr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Ојачана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преговарачка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моћ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добављача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C7616F9" w14:textId="78866E08" w:rsidR="000F13D3" w:rsidRPr="000F13D3" w:rsidRDefault="005E4D1F" w:rsidP="00747F81">
      <w:pPr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Већи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ризик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од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неформалног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усклађивања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понуда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95C2CB8" w14:textId="70691126" w:rsidR="000F13D3" w:rsidRPr="000F13D3" w:rsidRDefault="000F13D3" w:rsidP="000E060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2C55A8" w14:textId="3587EEE0" w:rsidR="000F13D3" w:rsidRPr="000F13D3" w:rsidRDefault="000F13D3" w:rsidP="000F13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5.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Сингле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-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бид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поступци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–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трајни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,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системски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проблем</w:t>
      </w:r>
    </w:p>
    <w:p w14:paraId="3FDEB418" w14:textId="538E894A" w:rsidR="000F13D3" w:rsidRPr="000F13D3" w:rsidRDefault="005E4D1F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Процјене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удјела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5DAFE10C" w14:textId="77777777" w:rsidR="000F13D3" w:rsidRPr="000F13D3" w:rsidRDefault="000F13D3" w:rsidP="00747F81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13D3">
        <w:rPr>
          <w:rFonts w:ascii="Times New Roman" w:eastAsia="Times New Roman" w:hAnsi="Times New Roman" w:cs="Times New Roman"/>
          <w:kern w:val="0"/>
          <w14:ligatures w14:val="none"/>
        </w:rPr>
        <w:t>2022: 35–40%</w:t>
      </w:r>
    </w:p>
    <w:p w14:paraId="3F5979E7" w14:textId="77777777" w:rsidR="000F13D3" w:rsidRPr="000F13D3" w:rsidRDefault="000F13D3" w:rsidP="00747F81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13D3">
        <w:rPr>
          <w:rFonts w:ascii="Times New Roman" w:eastAsia="Times New Roman" w:hAnsi="Times New Roman" w:cs="Times New Roman"/>
          <w:kern w:val="0"/>
          <w14:ligatures w14:val="none"/>
        </w:rPr>
        <w:t>2023: 40–45%</w:t>
      </w:r>
    </w:p>
    <w:p w14:paraId="66A66603" w14:textId="77777777" w:rsidR="000F13D3" w:rsidRPr="000F13D3" w:rsidRDefault="000F13D3" w:rsidP="00747F81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13D3">
        <w:rPr>
          <w:rFonts w:ascii="Times New Roman" w:eastAsia="Times New Roman" w:hAnsi="Times New Roman" w:cs="Times New Roman"/>
          <w:kern w:val="0"/>
          <w14:ligatures w14:val="none"/>
        </w:rPr>
        <w:t>2024: 35–40%</w:t>
      </w:r>
    </w:p>
    <w:p w14:paraId="70AAC4A0" w14:textId="6A164972" w:rsidR="00A22557" w:rsidRDefault="005E4D1F" w:rsidP="00FC2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Аналитичка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порука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18A46BCA" w14:textId="0D31BEAE" w:rsidR="000F13D3" w:rsidRPr="000F13D3" w:rsidRDefault="005E4D1F" w:rsidP="00FC2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Сингле</w:t>
      </w:r>
      <w:r w:rsidR="000F13D3" w:rsidRPr="00E274AC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бид</w:t>
      </w:r>
      <w:r w:rsidR="000F13D3" w:rsidRPr="00E274AC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није</w:t>
      </w:r>
      <w:r w:rsidR="000F13D3" w:rsidRPr="00E274AC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изузетак</w:t>
      </w:r>
      <w:r w:rsidR="000F13D3" w:rsidRPr="00E274AC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него</w:t>
      </w:r>
      <w:r w:rsidR="000F13D3" w:rsidRPr="00E274AC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структурна</w:t>
      </w:r>
      <w:r w:rsidR="000F13D3" w:rsidRPr="00E274AC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карактеристика</w:t>
      </w:r>
      <w:r w:rsidR="000F13D3" w:rsidRPr="00E274AC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тржишта</w:t>
      </w:r>
      <w:r w:rsidR="000F13D3" w:rsidRPr="00E274AC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Без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реалне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нема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обарања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нема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рационалне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потрошње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нема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позитивног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притиска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квалитет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76C7F108" w14:textId="370BB8E5" w:rsidR="000F13D3" w:rsidRPr="000F13D3" w:rsidRDefault="005E4D1F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Директан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ефекат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: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Разлика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између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1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3+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може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износити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20–30%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6F76B923" w14:textId="318C5A18" w:rsidR="000F13D3" w:rsidRPr="000F13D3" w:rsidRDefault="000F13D3" w:rsidP="000F13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A97006" w14:textId="40E11AB5" w:rsidR="000F13D3" w:rsidRPr="000F13D3" w:rsidRDefault="000F13D3" w:rsidP="000F13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6.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Поништавање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поступака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–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индикатор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слабог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тржишта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и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слабог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планирања</w:t>
      </w:r>
    </w:p>
    <w:p w14:paraId="573B56D7" w14:textId="1DDD2764" w:rsidR="000F13D3" w:rsidRPr="000F13D3" w:rsidRDefault="005E4D1F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Уочено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1A7F6CF2" w14:textId="6D7A844E" w:rsidR="000F13D3" w:rsidRPr="000F13D3" w:rsidRDefault="005E4D1F" w:rsidP="00747F8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Поновљени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поступци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често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доносе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још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мање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понуда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него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први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583368A" w14:textId="1F028399" w:rsidR="000F13D3" w:rsidRPr="000F13D3" w:rsidRDefault="005E4D1F" w:rsidP="00747F8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указује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лоше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дефинисане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услове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недовољно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планирање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недостатак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35D00F92" w14:textId="31073069" w:rsidR="000F13D3" w:rsidRPr="000F13D3" w:rsidRDefault="005E4D1F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Аналитичка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порука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: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Што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више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поништавања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→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слабије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јер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губе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интерес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повјерење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09F219CD" w14:textId="4B4BAF2E" w:rsidR="000F13D3" w:rsidRPr="000F13D3" w:rsidRDefault="000F13D3" w:rsidP="000F13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D48512" w14:textId="37E33B35" w:rsidR="000F13D3" w:rsidRPr="000F13D3" w:rsidRDefault="000F13D3" w:rsidP="000F13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7.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Е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-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аукције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–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дјелотворне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само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када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већ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постоји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конкуренција</w:t>
      </w:r>
    </w:p>
    <w:p w14:paraId="1F01D4D7" w14:textId="0D4B9818" w:rsidR="000F13D3" w:rsidRPr="000F13D3" w:rsidRDefault="005E4D1F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Увид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44EF2A8" w14:textId="4EF58FA9" w:rsidR="000F13D3" w:rsidRPr="000F13D3" w:rsidRDefault="005E4D1F" w:rsidP="00747F8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Аукције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доносе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уштеде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само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ако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постоје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барем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2–3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03BFD381" w14:textId="66B45BA2" w:rsidR="000F13D3" w:rsidRPr="000F13D3" w:rsidRDefault="005E4D1F" w:rsidP="00747F8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У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сингле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бид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секторима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ефекат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аукције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је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нула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.</w:t>
      </w:r>
    </w:p>
    <w:p w14:paraId="71219F60" w14:textId="5116CB55" w:rsidR="000F13D3" w:rsidRPr="000F13D3" w:rsidRDefault="005E4D1F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Аналитичка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порука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: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Е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аукције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су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важан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али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секундарни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алат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не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могу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ријешити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суштински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проблем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недостатка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понуда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.</w:t>
      </w:r>
    </w:p>
    <w:p w14:paraId="31EC29D3" w14:textId="1B4813D6" w:rsidR="000F13D3" w:rsidRPr="000F13D3" w:rsidRDefault="000F13D3" w:rsidP="000F13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0D588C" w14:textId="04793360" w:rsidR="000F13D3" w:rsidRPr="000F13D3" w:rsidRDefault="000F13D3" w:rsidP="000F13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8.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Централизиране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и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заједничке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набавке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–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системски</w:t>
      </w: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заказале</w:t>
      </w:r>
    </w:p>
    <w:p w14:paraId="370AC4FB" w14:textId="7CED2EA2" w:rsidR="000F13D3" w:rsidRPr="000F13D3" w:rsidRDefault="005E4D1F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Удио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укупној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вриједности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3333AE05" w14:textId="0433554D" w:rsidR="000F13D3" w:rsidRPr="000F13D3" w:rsidRDefault="000F13D3" w:rsidP="00747F8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0,14–0,29% →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практички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без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14:ligatures w14:val="none"/>
        </w:rPr>
        <w:t>ефекта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0A7D1AD" w14:textId="368A2257" w:rsidR="000F13D3" w:rsidRPr="000F13D3" w:rsidRDefault="005E4D1F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Аналитичка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порука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t>Централизација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неискориштен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механизам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који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би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могао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123CE37" w14:textId="1ACA5CB1" w:rsidR="000F13D3" w:rsidRPr="000F13D3" w:rsidRDefault="005E4D1F" w:rsidP="00747F8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смањити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цијене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75AACAD3" w14:textId="36CA2D0C" w:rsidR="000F13D3" w:rsidRPr="000F13D3" w:rsidRDefault="005E4D1F" w:rsidP="00747F8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растеретити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систем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433FF5B" w14:textId="60CDB103" w:rsidR="000F13D3" w:rsidRPr="000F13D3" w:rsidRDefault="005E4D1F" w:rsidP="00747F8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повећати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конкуренцију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хомогеним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набавкама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9D825E4" w14:textId="0EEC3A3B" w:rsidR="000F13D3" w:rsidRPr="000F13D3" w:rsidRDefault="005E4D1F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Али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: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Без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институционалног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притиска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капацитета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ослања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атомизиране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мале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неконкурентске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поступке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043281E2" w14:textId="3464D4E5" w:rsidR="000F13D3" w:rsidRPr="000F13D3" w:rsidRDefault="000F13D3" w:rsidP="000F13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AD7DB7" w14:textId="75789F16" w:rsidR="000F13D3" w:rsidRPr="000F13D3" w:rsidRDefault="005E4D1F" w:rsidP="000F13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Закључна</w:t>
      </w:r>
      <w:r w:rsidR="000F13D3" w:rsidRPr="000F13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порука</w:t>
      </w:r>
      <w:r w:rsidR="000F13D3" w:rsidRPr="000F13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тржиште</w:t>
      </w:r>
      <w:r w:rsidR="000F13D3" w:rsidRPr="000F13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2022–2024.</w:t>
      </w:r>
    </w:p>
    <w:p w14:paraId="3ABC9B50" w14:textId="607D48B1" w:rsidR="000F13D3" w:rsidRPr="000F13D3" w:rsidRDefault="005E4D1F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Тржиште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јавних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набавки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БиХ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ове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три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године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прошло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кроз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09F30FD" w14:textId="0765F85B" w:rsidR="000F13D3" w:rsidRPr="000F13D3" w:rsidRDefault="005E4D1F" w:rsidP="00747F8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пад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конкуренције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26274D74" w14:textId="0763C163" w:rsidR="000F13D3" w:rsidRPr="000F13D3" w:rsidRDefault="005E4D1F" w:rsidP="00747F8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рекордни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ниво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сингле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бид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поступака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,</w:t>
      </w:r>
    </w:p>
    <w:p w14:paraId="4CD31236" w14:textId="054AAA90" w:rsidR="000F13D3" w:rsidRPr="000F13D3" w:rsidRDefault="005E4D1F" w:rsidP="00747F8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раст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концентрације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вриједности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у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кључним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секторима</w:t>
      </w:r>
      <w:r w:rsidR="000F13D3"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,</w:t>
      </w:r>
    </w:p>
    <w:p w14:paraId="586E8EDD" w14:textId="2BFC16DD" w:rsidR="000F13D3" w:rsidRPr="000F13D3" w:rsidRDefault="005E4D1F" w:rsidP="00747F8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слабу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централизацију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246B87AF" w14:textId="4B2267DC" w:rsidR="000F13D3" w:rsidRPr="000F13D3" w:rsidRDefault="005E4D1F" w:rsidP="00747F8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превелико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кориштење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неконкурентских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процедура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ПБО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ДС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75614DF" w14:textId="029F4D4B" w:rsidR="0021204D" w:rsidRPr="00FE64DA" w:rsidRDefault="000F13D3" w:rsidP="00FE6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bs-Cyrl-BA"/>
          <w14:ligatures w14:val="none"/>
        </w:rPr>
      </w:pPr>
      <w:r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2023.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је</w:t>
      </w:r>
      <w:r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година</w:t>
      </w:r>
      <w:r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најдубље</w:t>
      </w:r>
      <w:r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ерозије</w:t>
      </w:r>
      <w:r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конкуренције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  <w:r w:rsidR="0032446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2024.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донијела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мали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али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недовољан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опоравак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6C6B8ADF" w14:textId="620C911F" w:rsidR="0021204D" w:rsidRPr="0021204D" w:rsidRDefault="0021204D" w:rsidP="005233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DE"/>
          <w14:ligatures w14:val="none"/>
        </w:rPr>
      </w:pPr>
      <w:r w:rsidRPr="00812A9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de-DE"/>
          <w14:ligatures w14:val="none"/>
        </w:rPr>
        <w:lastRenderedPageBreak/>
        <w:t>6.</w:t>
      </w:r>
      <w:r w:rsidRPr="005233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de-DE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de-DE"/>
          <w14:ligatures w14:val="none"/>
        </w:rPr>
        <w:t>Препоруке</w:t>
      </w:r>
      <w:r w:rsidRPr="005233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de-DE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de-DE"/>
          <w14:ligatures w14:val="none"/>
        </w:rPr>
        <w:t>за</w:t>
      </w:r>
      <w:r w:rsidRPr="005233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de-DE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de-DE"/>
          <w14:ligatures w14:val="none"/>
        </w:rPr>
        <w:t>унапређење</w:t>
      </w:r>
      <w:r w:rsidRPr="005233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de-DE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de-DE"/>
          <w14:ligatures w14:val="none"/>
        </w:rPr>
        <w:t>конкуренције</w:t>
      </w:r>
      <w:r w:rsidRPr="005233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de-DE"/>
          <w14:ligatures w14:val="none"/>
        </w:rPr>
        <w:t xml:space="preserve"> (2022–2024</w:t>
      </w:r>
      <w:r w:rsidR="005233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de-DE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de-DE"/>
          <w14:ligatures w14:val="none"/>
        </w:rPr>
        <w:t>хоризонтално</w:t>
      </w:r>
      <w:r w:rsidRPr="005233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de-DE"/>
          <w14:ligatures w14:val="none"/>
        </w:rPr>
        <w:t>)</w:t>
      </w:r>
    </w:p>
    <w:p w14:paraId="74BB815F" w14:textId="04BD7832" w:rsidR="0021204D" w:rsidRPr="0021204D" w:rsidRDefault="005E4D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основу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сва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годишта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свих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расположивих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података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препоручује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585F1D29" w14:textId="39BF04FC" w:rsidR="0021204D" w:rsidRPr="0021204D" w:rsidRDefault="005E4D1F" w:rsidP="00747F8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Системско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праћење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поступака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једном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понудом</w:t>
      </w:r>
    </w:p>
    <w:p w14:paraId="53EE8D47" w14:textId="1552C7C5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обавезни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извјештаји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уговорном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врсти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поступка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вриједносном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разреду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01AEBF67" w14:textId="7EABCB06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циљане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мјере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код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којих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удио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сингле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бид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изнад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просјека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7F18765" w14:textId="61DAB46F" w:rsidR="0021204D" w:rsidRPr="0021204D" w:rsidRDefault="005E4D1F" w:rsidP="00747F8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Ограничавање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строжа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контрола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ПБО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:</w:t>
      </w:r>
    </w:p>
    <w:p w14:paraId="77E3F147" w14:textId="12E3DEBD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пооштрити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услове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примјене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нарочито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радовима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7EAC1B7D" w14:textId="739E29A6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ПБО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изнад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одређеног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прага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увести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додатни</w:t>
      </w:r>
      <w:r w:rsidR="00E370A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надзор</w:t>
      </w:r>
    </w:p>
    <w:p w14:paraId="2BA77D6D" w14:textId="3A3E5D5F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јавно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објављивати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агрегиране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прегледе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ПБО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органима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секторима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5383918B" w14:textId="7BB74FF5" w:rsidR="0021204D" w:rsidRPr="0021204D" w:rsidRDefault="005E4D1F" w:rsidP="00747F8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Контрола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рационализација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директног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споразума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:</w:t>
      </w:r>
    </w:p>
    <w:p w14:paraId="79735E41" w14:textId="19D94C21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пратити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кумулативне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добављачу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59F3DEDE" w14:textId="4316BC17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спрјечавати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вјештачко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уситњавање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испод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прагова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7BB9E334" w14:textId="60B51F54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јавно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објављивати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статистике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удјела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ДС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органима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54E4C0F" w14:textId="48740F12" w:rsidR="0021204D" w:rsidRPr="0021204D" w:rsidRDefault="005E4D1F" w:rsidP="00747F8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Досљедна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примјена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подјеле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на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лотове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гдје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је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то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рационално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:</w:t>
      </w:r>
    </w:p>
    <w:p w14:paraId="47C8B331" w14:textId="797E59C2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обавезно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разматрање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лотова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изнад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одређеног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прага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</w:p>
    <w:p w14:paraId="798F2D2C" w14:textId="21490037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образложење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када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лотови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примјењују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04C4F10A" w14:textId="09ACE749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лотови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дизајнирани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тако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буду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приступачни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МСП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125FD072" w14:textId="77FE885E" w:rsidR="0021204D" w:rsidRPr="0021204D" w:rsidRDefault="005E4D1F" w:rsidP="00747F8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Јачање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централизираних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заједничких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набавки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:</w:t>
      </w:r>
    </w:p>
    <w:p w14:paraId="00CC67A8" w14:textId="178869D6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идентификовати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5–10 </w:t>
      </w:r>
      <w:r>
        <w:rPr>
          <w:rFonts w:ascii="Times New Roman" w:eastAsia="Times New Roman" w:hAnsi="Times New Roman" w:cs="Times New Roman"/>
          <w:kern w:val="0"/>
          <w14:ligatures w14:val="none"/>
        </w:rPr>
        <w:t>хомогених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категорија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14:ligatures w14:val="none"/>
        </w:rPr>
        <w:t>ИТ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енергенти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канцеларијски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материјал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медицински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потрошни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материјал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),</w:t>
      </w:r>
    </w:p>
    <w:p w14:paraId="3CB13B06" w14:textId="54FCF81A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организовати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пилот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централизоване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поступке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76322859" w14:textId="2697F39F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прати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уштеде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ефекат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7D42DB75" w14:textId="0F6B176B" w:rsidR="0021204D" w:rsidRPr="0021204D" w:rsidRDefault="005E4D1F" w:rsidP="00747F8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Смањење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административних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техничких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баријера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:</w:t>
      </w:r>
    </w:p>
    <w:p w14:paraId="08EA24E6" w14:textId="2E083597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прилагодити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квалификационе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техничке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услове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реалним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тржишним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капацитетима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199635BE" w14:textId="726C82E1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избјегавати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непотребно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високе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захтјеве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који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искључују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МСП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298779E" w14:textId="3F1F4601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стандардизовати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документацију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процедуре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31A7B7" w14:textId="100E3C1D" w:rsidR="0021204D" w:rsidRPr="0021204D" w:rsidRDefault="005E4D1F" w:rsidP="00747F8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Развој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индикатора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трајања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процедура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повезаности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конкуренцијом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:</w:t>
      </w:r>
    </w:p>
    <w:p w14:paraId="71FBDD9C" w14:textId="6CB0A798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мјерити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вријеме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објаве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додјеле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врсти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поступка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нивоу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власти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6671AA79" w14:textId="76EACDAA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анализирати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како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рокови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утичу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учесталост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поништавања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31A5C717" w14:textId="587A2887" w:rsidR="0021204D" w:rsidRPr="0021204D" w:rsidRDefault="005E4D1F" w:rsidP="00747F8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Циљана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употреба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е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аукција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3FD37CBF" w14:textId="57EFA375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ширење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аукција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сегментима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евидентним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простором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цјеновно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надметање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2F65787D" w14:textId="0C29BAAA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избјегавање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аукција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гдје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пресудан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квалитет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62CC29BA" w14:textId="0F918414" w:rsidR="0021204D" w:rsidRPr="0021204D" w:rsidRDefault="005E4D1F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односа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учесника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остварена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уштеда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”.</w:t>
      </w:r>
    </w:p>
    <w:p w14:paraId="67D2777C" w14:textId="42EB1BA7" w:rsidR="00640874" w:rsidRPr="00812A91" w:rsidRDefault="00640874" w:rsidP="00A9187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812A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lastRenderedPageBreak/>
        <w:t xml:space="preserve">7.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Мјере</w:t>
      </w:r>
      <w:r w:rsidRPr="00812A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за</w:t>
      </w:r>
      <w:r w:rsidRPr="00812A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унапређење</w:t>
      </w:r>
      <w:r w:rsidRPr="00812A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конкуренције</w:t>
      </w:r>
      <w:r w:rsidRPr="00812A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уз</w:t>
      </w:r>
      <w:r w:rsidRPr="00812A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примјере</w:t>
      </w:r>
      <w:r w:rsidRPr="00812A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из</w:t>
      </w:r>
      <w:r w:rsidRPr="00812A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праксе</w:t>
      </w:r>
    </w:p>
    <w:p w14:paraId="103ECED4" w14:textId="56B5D2CA" w:rsidR="00640874" w:rsidRPr="00640874" w:rsidRDefault="005E4D1F" w:rsidP="00BC64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основу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података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период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2022–2024.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уочених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слабости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низак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висок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удио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сингле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бид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висока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концентрација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честа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употреба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ПБО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директног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споразума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слаб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развој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централизираних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),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предлаже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сет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конкретних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мјера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могу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операционализовати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кроз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подзаконске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акте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смјернице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праксу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уговорних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54915B61" w14:textId="7FAA6FB3" w:rsidR="00640874" w:rsidRPr="00640874" w:rsidRDefault="00640874" w:rsidP="006408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7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.1.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Системско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праћење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поступака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са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једном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понудом</w:t>
      </w:r>
    </w:p>
    <w:p w14:paraId="676B7333" w14:textId="1F0D2432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Мјера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02F5900" w14:textId="218EF8A6" w:rsidR="00640874" w:rsidRPr="00640874" w:rsidRDefault="005E4D1F" w:rsidP="00747F8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Увести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обавезно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означавање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аутоматско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статистичко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праћење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свих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поступака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којима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примљена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само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једна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понуда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14:ligatures w14:val="none"/>
        </w:rPr>
        <w:t>сингле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14:ligatures w14:val="none"/>
        </w:rPr>
        <w:t>бид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),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37616F0" w14:textId="64FB7954" w:rsidR="00640874" w:rsidRPr="00640874" w:rsidRDefault="005E4D1F" w:rsidP="00747F81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уговорном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органу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745AC908" w14:textId="74713233" w:rsidR="00640874" w:rsidRPr="00640874" w:rsidRDefault="005E4D1F" w:rsidP="00747F81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врсти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поступка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9DF1B8F" w14:textId="4D749CFF" w:rsidR="00640874" w:rsidRPr="00640874" w:rsidRDefault="005E4D1F" w:rsidP="00747F81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вриједносном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разреду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F312D44" w14:textId="2605215C" w:rsidR="00640874" w:rsidRPr="00640874" w:rsidRDefault="005E4D1F" w:rsidP="00747F81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сектору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14:ligatures w14:val="none"/>
        </w:rPr>
        <w:t>радови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робе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услуге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здравство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комуналије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итд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.).</w:t>
      </w:r>
    </w:p>
    <w:p w14:paraId="7CA26E41" w14:textId="67E97999" w:rsidR="00640874" w:rsidRPr="00640874" w:rsidRDefault="005E4D1F" w:rsidP="00747F8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Уговорни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органи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код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којих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удио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сингле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14:ligatures w14:val="none"/>
        </w:rPr>
        <w:t>бид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поступака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изнад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годишњег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просјека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система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14:ligatures w14:val="none"/>
        </w:rPr>
        <w:t>нпр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. 10–15 </w:t>
      </w:r>
      <w:r>
        <w:rPr>
          <w:rFonts w:ascii="Times New Roman" w:eastAsia="Times New Roman" w:hAnsi="Times New Roman" w:cs="Times New Roman"/>
          <w:kern w:val="0"/>
          <w14:ligatures w14:val="none"/>
        </w:rPr>
        <w:t>п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14:ligatures w14:val="none"/>
        </w:rPr>
        <w:t>п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14:ligatures w14:val="none"/>
        </w:rPr>
        <w:t>изнад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просјека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14:ligatures w14:val="none"/>
        </w:rPr>
        <w:t>дужни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E6CAAAC" w14:textId="48AA7FC0" w:rsidR="00640874" w:rsidRPr="00640874" w:rsidRDefault="005E4D1F" w:rsidP="00747F81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израде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интерну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анализу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узрока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14:ligatures w14:val="none"/>
        </w:rPr>
        <w:t>спецификације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рокови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услови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),</w:t>
      </w:r>
    </w:p>
    <w:p w14:paraId="29DC7A74" w14:textId="068CBBE5" w:rsidR="00640874" w:rsidRPr="00640874" w:rsidRDefault="005E4D1F" w:rsidP="00747F81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доставе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план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корективних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мјера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14:ligatures w14:val="none"/>
        </w:rPr>
        <w:t>измјене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услова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дужи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рокови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тржишно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савјетовање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0A527243" w14:textId="06F61D8E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Примјер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лоше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праксе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17F617B5" w14:textId="4BB34EB1" w:rsidR="00640874" w:rsidRPr="00640874" w:rsidRDefault="00DD774B" w:rsidP="00747F8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Општина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континуитету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има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70–80%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поступака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са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једном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понудом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радовима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чему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56F84A67" w14:textId="3B35A5A9" w:rsidR="00640874" w:rsidRPr="00640874" w:rsidRDefault="005E4D1F" w:rsidP="00747F81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рокови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доставу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врло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кратки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0E4B2E7B" w14:textId="29F252AE" w:rsidR="00640874" w:rsidRPr="00640874" w:rsidRDefault="005E4D1F" w:rsidP="00747F81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техничке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спецификације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преузете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једног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произвођача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7542EF16" w14:textId="507FDDC6" w:rsidR="00640874" w:rsidRPr="00640874" w:rsidRDefault="005E4D1F" w:rsidP="00747F81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процијењене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неусклађене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растом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Резултат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увијек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јавља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иста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1–2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фирме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високе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затворено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нове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учеснике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3DB06FF" w14:textId="5838E250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Примјер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добре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праксе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4A81C9C" w14:textId="4A5D8568" w:rsidR="00640874" w:rsidRPr="00640874" w:rsidRDefault="005E4D1F" w:rsidP="00747F8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Уговорни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орган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који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након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што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утврдио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има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велики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удио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сингле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14:ligatures w14:val="none"/>
        </w:rPr>
        <w:t>бид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поступака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05E5A72" w14:textId="1988AADD" w:rsidR="00640874" w:rsidRPr="00640874" w:rsidRDefault="005E4D1F" w:rsidP="00747F81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продужио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рокове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доставу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нпр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10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25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1EC0B616" w14:textId="5601ABE6" w:rsidR="00640874" w:rsidRPr="00640874" w:rsidRDefault="005E4D1F" w:rsidP="00747F81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организовао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јавно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савјетовање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објаве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већих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тендера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07162384" w14:textId="05AEF28E" w:rsidR="00640874" w:rsidRPr="005F1599" w:rsidRDefault="005E4D1F" w:rsidP="005F1599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поједноставио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квалификационе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услове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смањио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тражени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промет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референци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обим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гаранција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).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Резултат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поступку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порастао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1–2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3–4,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ниже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МСП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већи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775D423C" w14:textId="4533C78A" w:rsidR="00640874" w:rsidRPr="00640874" w:rsidRDefault="00640874" w:rsidP="006408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lastRenderedPageBreak/>
        <w:t>7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.2.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Ограничавање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и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строжа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контрола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преговарачког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поступка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без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објаве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(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ПБО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)</w:t>
      </w:r>
    </w:p>
    <w:p w14:paraId="4FC2FC58" w14:textId="3D7B0AFA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Мјера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0657A240" w14:textId="5AF19808" w:rsidR="00640874" w:rsidRPr="00640874" w:rsidRDefault="005E4D1F" w:rsidP="00747F8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Појаснити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сузити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разлоге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примјену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ПБО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подзаконским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актима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смјерницама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14:ligatures w14:val="none"/>
        </w:rPr>
        <w:t>хитност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техничке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ексклузиве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додатни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радови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заштита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права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интелектуалне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својине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6AF82267" w14:textId="640CE047" w:rsidR="00640874" w:rsidRPr="00640874" w:rsidRDefault="005E4D1F" w:rsidP="00747F8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Увести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обавезу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детаљног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писаног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образложења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4C4CA940" w14:textId="32084428" w:rsidR="00640874" w:rsidRPr="00640874" w:rsidRDefault="005E4D1F" w:rsidP="00747F81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зашто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било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могуће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провести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отворени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ограничени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3405E261" w14:textId="39FF0408" w:rsidR="00640874" w:rsidRPr="00640874" w:rsidRDefault="005E4D1F" w:rsidP="00747F81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алтернативе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уговорни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разматрао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60CA6CD1" w14:textId="4EE3672A" w:rsidR="00640874" w:rsidRPr="00640874" w:rsidRDefault="005E4D1F" w:rsidP="00747F81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зашто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оцјењује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нема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више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потенцијалних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0F64C34E" w14:textId="75E5F792" w:rsidR="00640874" w:rsidRPr="00640874" w:rsidRDefault="005E4D1F" w:rsidP="00747F8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Редовно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објављивати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агрегиране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извјештаје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примјени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ПБО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27A550FE" w14:textId="26017E6C" w:rsidR="00640874" w:rsidRPr="00640874" w:rsidRDefault="005E4D1F" w:rsidP="00747F81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ентитетима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0C20E8F5" w14:textId="3618899A" w:rsidR="00640874" w:rsidRPr="00640874" w:rsidRDefault="005E4D1F" w:rsidP="00747F81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секторима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6595B9D2" w14:textId="03FD12FD" w:rsidR="00640874" w:rsidRPr="00640874" w:rsidRDefault="005E4D1F" w:rsidP="00747F81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уговорним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органима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C069DAF" w14:textId="026DB075" w:rsidR="00640874" w:rsidRPr="00640874" w:rsidRDefault="005E4D1F" w:rsidP="00747F81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вриједносним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разредима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4DC07BB" w14:textId="4265D27C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Примјер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лоше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праксе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682183DF" w14:textId="1C934682" w:rsidR="00640874" w:rsidRPr="00640874" w:rsidRDefault="005E4D1F" w:rsidP="00747F81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Кориштење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ПБО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реконструкцију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локалног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пута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уз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образложење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14:ligatures w14:val="none"/>
        </w:rPr>
        <w:t>хитности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”, </w:t>
      </w:r>
      <w:r>
        <w:rPr>
          <w:rFonts w:ascii="Times New Roman" w:eastAsia="Times New Roman" w:hAnsi="Times New Roman" w:cs="Times New Roman"/>
          <w:kern w:val="0"/>
          <w14:ligatures w14:val="none"/>
        </w:rPr>
        <w:t>иако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8CCF446" w14:textId="11CFDBE2" w:rsidR="00640874" w:rsidRPr="00640874" w:rsidRDefault="005E4D1F" w:rsidP="00747F81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инвестиција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траје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мјесецима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19C421B6" w14:textId="232350B8" w:rsidR="00640874" w:rsidRPr="00640874" w:rsidRDefault="005E4D1F" w:rsidP="00747F81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нема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доказа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стварној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непредвидивој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околности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144DF566" w14:textId="10513EA4" w:rsidR="00640874" w:rsidRPr="00640874" w:rsidRDefault="005E4D1F" w:rsidP="00747F81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постоји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више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грађевинских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фирми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могле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конкурисати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0DCBF8F7" w14:textId="412DBED4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Примјер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добре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праксе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651AC3F7" w14:textId="48A60F43" w:rsidR="00640874" w:rsidRPr="00640874" w:rsidRDefault="005E4D1F" w:rsidP="00747F8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ПБО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примијењен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EDCC953" w14:textId="0D12567F" w:rsidR="00640874" w:rsidRPr="00640874" w:rsidRDefault="005E4D1F" w:rsidP="00747F81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набавку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специфичне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медицинске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опреме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која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заштићена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правима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интелектуалне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својине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072452E4" w14:textId="40D32FC2" w:rsidR="00640874" w:rsidRPr="00640874" w:rsidRDefault="005E4D1F" w:rsidP="00747F81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додатне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радове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већ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уговореном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објекту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строго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технички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повезане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првобитним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уговором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t>Уговорни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орган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78CB139" w14:textId="23818000" w:rsidR="00640874" w:rsidRPr="00640874" w:rsidRDefault="005E4D1F" w:rsidP="00747F81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прилаже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анализу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тржишта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доказима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други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добављачи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могу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испоручити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компатибилну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опрему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0B779A9F" w14:textId="258F3F66" w:rsidR="00640874" w:rsidRPr="00640874" w:rsidRDefault="005E4D1F" w:rsidP="00747F81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јасно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означава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разлоге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одлуци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0673811C" w14:textId="203CD2EA" w:rsidR="00640874" w:rsidRPr="00640874" w:rsidRDefault="005E4D1F" w:rsidP="00747F81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објављује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информације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транспарентно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182CBD41" w14:textId="6A1DE6AB" w:rsidR="00640874" w:rsidRPr="00DD774B" w:rsidRDefault="00640874" w:rsidP="00640874">
      <w:pPr>
        <w:spacing w:after="0" w:line="240" w:lineRule="auto"/>
        <w:rPr>
          <w:rFonts w:ascii="Times New Roman" w:eastAsia="Times New Roman" w:hAnsi="Times New Roman" w:cs="Times New Roman"/>
          <w:kern w:val="0"/>
          <w:lang w:val="bs-Cyrl-BA"/>
          <w14:ligatures w14:val="none"/>
        </w:rPr>
      </w:pPr>
    </w:p>
    <w:p w14:paraId="0765354B" w14:textId="60C27B9F" w:rsidR="00640874" w:rsidRPr="00640874" w:rsidRDefault="00640874" w:rsidP="006408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7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.3.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Контрола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директног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споразума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и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спрјечавање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“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уситњавања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”</w:t>
      </w:r>
    </w:p>
    <w:p w14:paraId="50BA2715" w14:textId="7B23CA1B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Мјера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107A2A3F" w14:textId="070C6667" w:rsidR="00640874" w:rsidRPr="00640874" w:rsidRDefault="005E4D1F" w:rsidP="00747F8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Увести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аутоматизовано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праћење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кумулативних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вриједности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директних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споразума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9B36FA7" w14:textId="3E2474E8" w:rsidR="00640874" w:rsidRPr="00640874" w:rsidRDefault="005E4D1F" w:rsidP="00747F81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по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добављачу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3CF3F6C" w14:textId="7AE3141B" w:rsidR="00640874" w:rsidRPr="00640874" w:rsidRDefault="005E4D1F" w:rsidP="00747F81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буџетској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позицији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0C0DF56" w14:textId="2A76B59F" w:rsidR="00640874" w:rsidRPr="00640874" w:rsidRDefault="005E4D1F" w:rsidP="00747F81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врсти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робе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14:ligatures w14:val="none"/>
        </w:rPr>
        <w:t>услуге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7244BC8F" w14:textId="4723A450" w:rsidR="00640874" w:rsidRPr="00640874" w:rsidRDefault="005E4D1F" w:rsidP="00747F81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уговорном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органу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2029D61" w14:textId="50F0F929" w:rsidR="00640874" w:rsidRPr="00640874" w:rsidRDefault="005E4D1F" w:rsidP="00747F81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Дефинисати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јасна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правила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препознавање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уситњавања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набавки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14:ligatures w14:val="none"/>
        </w:rPr>
        <w:t>нпр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14:ligatures w14:val="none"/>
        </w:rPr>
        <w:t>више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директних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споразума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истим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добављачем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исту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врсту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робе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кратком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року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495C6D93" w14:textId="5026BF0E" w:rsidR="00640874" w:rsidRPr="00640874" w:rsidRDefault="005E4D1F" w:rsidP="00747F81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Обавезати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органе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када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пређу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одређени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праг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вриједности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истоврсне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набавке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кроз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директни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споразум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пређу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9E48A59" w14:textId="2F66A3CC" w:rsidR="00640874" w:rsidRPr="00640874" w:rsidRDefault="005E4D1F" w:rsidP="00747F81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конкурентски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захтјев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4F9C7264" w14:textId="7BACDBCF" w:rsidR="00640874" w:rsidRPr="00640874" w:rsidRDefault="005E4D1F" w:rsidP="00747F81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отворени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поступак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FDD3C1F" w14:textId="7E3C0B6E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Примјер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лоше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праксе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5584A47" w14:textId="7D85B435" w:rsidR="00640874" w:rsidRPr="00640874" w:rsidRDefault="005E4D1F" w:rsidP="00747F8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Један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уговорни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орган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током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године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закључује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50+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директних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споразума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канцеларијски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материјал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истим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добављачем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сваки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испод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прага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без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иједног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конкурентског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поступка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Резултат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нема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провјере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системски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заобилазе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конкурентни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поступци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4726578A" w14:textId="3E9E1A69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Примјер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добре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праксе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4F9297E" w14:textId="69D52F9D" w:rsidR="00640874" w:rsidRPr="00640874" w:rsidRDefault="005E4D1F" w:rsidP="00747F8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препознаје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потребе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канцеларијским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материјалом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цијеле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године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кумулативно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високе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05B990E2" w14:textId="19F182C6" w:rsidR="00640874" w:rsidRPr="00640874" w:rsidRDefault="005E4D1F" w:rsidP="00747F81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умјесто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више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директних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споразума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проводи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један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отворени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поступак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са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лотовима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или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конкурентски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захтјев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3AF7D3DE" w14:textId="5751F698" w:rsidR="00640874" w:rsidRPr="00640874" w:rsidRDefault="005E4D1F" w:rsidP="00747F81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склапа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оквирни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споразум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једним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или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више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добављача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t>Резултат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14:ligatures w14:val="none"/>
        </w:rPr>
        <w:t>више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понуда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ниже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цијене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транспарентнији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процес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87B41A" w14:textId="55AB95F3" w:rsidR="00640874" w:rsidRPr="00640874" w:rsidRDefault="00640874" w:rsidP="006408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153C17" w14:textId="7422D2F4" w:rsidR="00640874" w:rsidRPr="00640874" w:rsidRDefault="00640874" w:rsidP="006408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7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.4.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Активна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промоција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подјеле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на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лотове</w:t>
      </w:r>
    </w:p>
    <w:p w14:paraId="26AEEE63" w14:textId="550E980A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Мјера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:</w:t>
      </w:r>
    </w:p>
    <w:p w14:paraId="1FFC1001" w14:textId="7D738635" w:rsidR="00640874" w:rsidRPr="00640874" w:rsidRDefault="005E4D1F" w:rsidP="00747F8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Прописати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обавезно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разматрање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подјеле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лотове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23FEB2A5" w14:textId="565EAD8C" w:rsidR="00640874" w:rsidRPr="00640874" w:rsidRDefault="005E4D1F" w:rsidP="00747F81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све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изнад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одређеног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износа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7D182F94" w14:textId="1FE726E4" w:rsidR="00640874" w:rsidRPr="00640874" w:rsidRDefault="005E4D1F" w:rsidP="00747F81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гдје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МСП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имају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капацитете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нпр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канцеларијски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материјал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мањи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грађевински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радови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ИТ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опрема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).</w:t>
      </w:r>
    </w:p>
    <w:p w14:paraId="23E63BD6" w14:textId="02CE0243" w:rsidR="00640874" w:rsidRPr="00640874" w:rsidRDefault="005E4D1F" w:rsidP="00747F8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документацији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тражити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уговорног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529254BC" w14:textId="190D9546" w:rsidR="00640874" w:rsidRPr="00640874" w:rsidRDefault="005E4D1F" w:rsidP="00747F81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образложи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зашто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извршио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подјелу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лотове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или</w:t>
      </w:r>
    </w:p>
    <w:p w14:paraId="52C9A1E3" w14:textId="6D5DF801" w:rsidR="00640874" w:rsidRPr="00640874" w:rsidRDefault="005E4D1F" w:rsidP="00747F81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зашто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није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извршио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подјелу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иако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висока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1C546965" w14:textId="4D951DAD" w:rsidR="00640874" w:rsidRPr="00640874" w:rsidRDefault="005E4D1F" w:rsidP="00747F8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Израдити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смјернице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креирање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лотова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географски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технички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функционални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усмјерене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укључивању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МСП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6D5BF8B1" w14:textId="28871CC5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Примјер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лоше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праксе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7C60968F" w14:textId="7EF55E0F" w:rsidR="00640874" w:rsidRPr="00640874" w:rsidRDefault="005E4D1F" w:rsidP="00747F81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Тендер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одржавање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путне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мреже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цијели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кантон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расписан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као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један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лот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07CDA52" w14:textId="63CEA770" w:rsidR="00640874" w:rsidRPr="00640874" w:rsidRDefault="005E4D1F" w:rsidP="00747F81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огромним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захтјевима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механизацију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промет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референцама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Посљедица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јавља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1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велики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мали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извођачи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искључени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70D044B1" w14:textId="73D95455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Примјер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добре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праксе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00E83064" w14:textId="5500DD9A" w:rsidR="00640874" w:rsidRPr="00640874" w:rsidRDefault="005E4D1F" w:rsidP="00747F81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истих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услуга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подијељена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више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географских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лотова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нпр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DD77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општина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или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регијама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):</w:t>
      </w:r>
    </w:p>
    <w:p w14:paraId="669529FE" w14:textId="1066B56B" w:rsidR="00640874" w:rsidRPr="00640874" w:rsidRDefault="005E4D1F" w:rsidP="00747F81">
      <w:pPr>
        <w:numPr>
          <w:ilvl w:val="1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ЛОТ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1 – </w:t>
      </w:r>
      <w:r>
        <w:rPr>
          <w:rFonts w:ascii="Times New Roman" w:eastAsia="Times New Roman" w:hAnsi="Times New Roman" w:cs="Times New Roman"/>
          <w:kern w:val="0"/>
          <w14:ligatures w14:val="none"/>
        </w:rPr>
        <w:t>сјеверни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дио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0378E1ED" w14:textId="1ECA96A4" w:rsidR="00640874" w:rsidRPr="00640874" w:rsidRDefault="005E4D1F" w:rsidP="00747F81">
      <w:pPr>
        <w:numPr>
          <w:ilvl w:val="1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ЛОТ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2 – </w:t>
      </w:r>
      <w:r>
        <w:rPr>
          <w:rFonts w:ascii="Times New Roman" w:eastAsia="Times New Roman" w:hAnsi="Times New Roman" w:cs="Times New Roman"/>
          <w:kern w:val="0"/>
          <w14:ligatures w14:val="none"/>
        </w:rPr>
        <w:t>централни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дио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4F7FE836" w14:textId="45574985" w:rsidR="00640874" w:rsidRPr="00640874" w:rsidRDefault="005E4D1F" w:rsidP="00747F81">
      <w:pPr>
        <w:numPr>
          <w:ilvl w:val="1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ЛОТ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3 – </w:t>
      </w:r>
      <w:r>
        <w:rPr>
          <w:rFonts w:ascii="Times New Roman" w:eastAsia="Times New Roman" w:hAnsi="Times New Roman" w:cs="Times New Roman"/>
          <w:kern w:val="0"/>
          <w14:ligatures w14:val="none"/>
        </w:rPr>
        <w:t>јужни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дио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t>Резултат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14:ligatures w14:val="none"/>
        </w:rPr>
        <w:t>више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МСП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јавља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поједине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лотове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комбинација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већих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мањих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понуђача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више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понуда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лоту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виши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квалитет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ниже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цијене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8FC3269" w14:textId="32A474B4" w:rsidR="00640874" w:rsidRPr="00640874" w:rsidRDefault="00640874" w:rsidP="006408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26DB54" w14:textId="7ECF5E2A" w:rsidR="00640874" w:rsidRPr="00640874" w:rsidRDefault="00640874" w:rsidP="006408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7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.5.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Јачање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централизираних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и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заједничких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набавки</w:t>
      </w:r>
    </w:p>
    <w:p w14:paraId="33B92904" w14:textId="522403A5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Мјера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:</w:t>
      </w:r>
    </w:p>
    <w:p w14:paraId="61674FE6" w14:textId="1AC13EE0" w:rsidR="00640874" w:rsidRPr="00640874" w:rsidRDefault="005E4D1F" w:rsidP="00747F81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Идентификовати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категорије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гдје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централизација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најлогичнија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53711567" w14:textId="082DB6AC" w:rsidR="00640874" w:rsidRPr="00640874" w:rsidRDefault="005E4D1F" w:rsidP="00747F81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гориво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енергенти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44EEB02" w14:textId="790651DF" w:rsidR="00640874" w:rsidRPr="00640874" w:rsidRDefault="005E4D1F" w:rsidP="00747F81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канцеларијски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материјал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29A765B" w14:textId="288F110B" w:rsidR="00640874" w:rsidRPr="00640874" w:rsidRDefault="005E4D1F" w:rsidP="00747F81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основна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опрема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0ABB579B" w14:textId="2CB70D9A" w:rsidR="00640874" w:rsidRPr="00640874" w:rsidRDefault="005E4D1F" w:rsidP="00747F81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стандардизовани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медицински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потрошни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материјал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1C80EB" w14:textId="6D34406D" w:rsidR="00640874" w:rsidRPr="00640874" w:rsidRDefault="005E4D1F" w:rsidP="00747F81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Успоставити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08A8645" w14:textId="0EDAFE9A" w:rsidR="00640874" w:rsidRPr="00640874" w:rsidRDefault="005E4D1F" w:rsidP="00747F81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централне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набавне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јединице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нивоу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државе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ентитета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кантона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или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група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DD77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општина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),</w:t>
      </w:r>
    </w:p>
    <w:p w14:paraId="0D4DE92D" w14:textId="2145CC96" w:rsidR="00640874" w:rsidRPr="00640874" w:rsidRDefault="005E4D1F" w:rsidP="00747F81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моделе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заједничких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међу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DD77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општина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градовима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меморандуми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сарадњи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споразуми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).</w:t>
      </w:r>
    </w:p>
    <w:p w14:paraId="00F70A3D" w14:textId="20AFB51A" w:rsidR="00640874" w:rsidRPr="00640874" w:rsidRDefault="005E4D1F" w:rsidP="00747F81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Планирати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пилот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пројекте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050840E" w14:textId="10603A9A" w:rsidR="00640874" w:rsidRPr="00640874" w:rsidRDefault="005E4D1F" w:rsidP="00747F81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нпр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. 10 </w:t>
      </w:r>
      <w:r w:rsidR="00DD774B">
        <w:rPr>
          <w:rFonts w:ascii="Times New Roman" w:eastAsia="Times New Roman" w:hAnsi="Times New Roman" w:cs="Times New Roman"/>
          <w:kern w:val="0"/>
          <w14:ligatures w14:val="none"/>
        </w:rPr>
        <w:t>општина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заједнички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набавља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гориво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или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канцеларијски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материјал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4BE6C1E9" w14:textId="3DA7567D" w:rsidR="00640874" w:rsidRPr="00640874" w:rsidRDefault="005E4D1F" w:rsidP="00747F81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након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пилот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фазе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евалуирати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ефекат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14:ligatures w14:val="none"/>
        </w:rPr>
        <w:t>број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понуда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цијене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уштеде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квалитет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6EA9EF28" w14:textId="4123E038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Примјер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лоше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праксе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0848BC15" w14:textId="72AF99C9" w:rsidR="00640874" w:rsidRPr="00640874" w:rsidRDefault="005E4D1F" w:rsidP="00747F81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Свака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D774B">
        <w:rPr>
          <w:rFonts w:ascii="Times New Roman" w:eastAsia="Times New Roman" w:hAnsi="Times New Roman" w:cs="Times New Roman"/>
          <w:kern w:val="0"/>
          <w14:ligatures w14:val="none"/>
        </w:rPr>
        <w:t>општина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засебно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проводи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набавку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горива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малим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количинама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директним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споразумима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или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мини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тендерима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често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једним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локалним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добављачем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t>Резултат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14:ligatures w14:val="none"/>
        </w:rPr>
        <w:t>високе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јединичне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цијене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мала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транспарентност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слаб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интерес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ширег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тржишта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964307E" w14:textId="0FC0CB38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Примјер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добре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праксе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43A53AD3" w14:textId="7DB6C867" w:rsidR="00640874" w:rsidRPr="00640874" w:rsidRDefault="005E4D1F" w:rsidP="00747F81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Група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D774B">
        <w:rPr>
          <w:rFonts w:ascii="Times New Roman" w:eastAsia="Times New Roman" w:hAnsi="Times New Roman" w:cs="Times New Roman"/>
          <w:kern w:val="0"/>
          <w14:ligatures w14:val="none"/>
        </w:rPr>
        <w:t>општина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или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кантонално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министарство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организују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један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заједнички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отворени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поступак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гориво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4CE7D74" w14:textId="79F71208" w:rsidR="00640874" w:rsidRPr="00640874" w:rsidRDefault="005E4D1F" w:rsidP="00747F81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lastRenderedPageBreak/>
        <w:t>количина</w:t>
      </w:r>
      <w:r w:rsidR="00640874" w:rsidRPr="0064087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је</w:t>
      </w:r>
      <w:r w:rsidR="00640874" w:rsidRPr="0064087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већа</w:t>
      </w:r>
      <w:r w:rsidR="00640874" w:rsidRPr="0064087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тендер</w:t>
      </w:r>
      <w:r w:rsidR="00640874" w:rsidRPr="0064087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атрактивнији</w:t>
      </w:r>
      <w:r w:rsidR="00640874" w:rsidRPr="0064087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,</w:t>
      </w:r>
    </w:p>
    <w:p w14:paraId="70AFABF2" w14:textId="42052715" w:rsidR="00640874" w:rsidRPr="00640874" w:rsidRDefault="005E4D1F" w:rsidP="00747F81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јавља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већи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укључујући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веће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дистрибутере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1E6456D5" w14:textId="6B7508DA" w:rsidR="00640874" w:rsidRPr="00640874" w:rsidRDefault="005E4D1F" w:rsidP="00747F81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постижу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боље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стандардизују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услови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0A63DCDC" w14:textId="3C0520FD" w:rsidR="00640874" w:rsidRPr="00640874" w:rsidRDefault="00640874" w:rsidP="006408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1C8F3B" w14:textId="0D656658" w:rsidR="00640874" w:rsidRPr="00640874" w:rsidRDefault="00640874" w:rsidP="006408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7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.6.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Смањење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административних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баријера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и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прилагођавање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техничких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спецификација</w:t>
      </w:r>
    </w:p>
    <w:p w14:paraId="46AFA3D3" w14:textId="17BC1932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Мјера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5B2CA3E0" w14:textId="036E8F37" w:rsidR="00640874" w:rsidRPr="00640874" w:rsidRDefault="005E4D1F" w:rsidP="00747F8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Редовно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анализирати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A97BA7D" w14:textId="1DAC2559" w:rsidR="00640874" w:rsidRPr="00640874" w:rsidRDefault="005E4D1F" w:rsidP="00747F81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минимално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тражени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годишњи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промет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09DA3FC1" w14:textId="08D0196B" w:rsidR="00640874" w:rsidRPr="00640874" w:rsidRDefault="005E4D1F" w:rsidP="00747F81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број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вриједност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референци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14CC89A3" w14:textId="50FDD706" w:rsidR="00640874" w:rsidRPr="00640874" w:rsidRDefault="005E4D1F" w:rsidP="00747F81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висину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гаранција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озбиљност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извршење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05C8E060" w14:textId="048D4E58" w:rsidR="00640874" w:rsidRPr="00640874" w:rsidRDefault="005E4D1F" w:rsidP="00747F8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Увести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принцип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пропорционалности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6547229" w14:textId="628695A0" w:rsidR="00640874" w:rsidRPr="00640874" w:rsidRDefault="005E4D1F" w:rsidP="00747F81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што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мања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вриједност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набавке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→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нижи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услови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70AC339B" w14:textId="49726DEF" w:rsidR="00640874" w:rsidRPr="00640874" w:rsidRDefault="005E4D1F" w:rsidP="00747F81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услови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смију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искључити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МСП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без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стварне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потребе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944C1AA" w14:textId="49545734" w:rsidR="00640874" w:rsidRPr="00640874" w:rsidRDefault="005E4D1F" w:rsidP="00747F8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Ограничити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инсистирање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референцама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које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фактички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“</w:t>
      </w:r>
      <w:r>
        <w:rPr>
          <w:rFonts w:ascii="Times New Roman" w:eastAsia="Times New Roman" w:hAnsi="Times New Roman" w:cs="Times New Roman"/>
          <w:kern w:val="0"/>
          <w14:ligatures w14:val="none"/>
        </w:rPr>
        <w:t>таргетирају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једног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понуђача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14:ligatures w14:val="none"/>
        </w:rPr>
        <w:t>нпр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14:ligatures w14:val="none"/>
        </w:rPr>
        <w:t>стриктно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географски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везана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искуства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идентичне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вриједности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слично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7DC65013" w14:textId="515CBBBB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Примјер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лоше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праксе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3BFAE762" w14:textId="1530AFEB" w:rsidR="00640874" w:rsidRPr="00640874" w:rsidRDefault="005E4D1F" w:rsidP="00747F81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Тендер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релативно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скромне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радове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14:ligatures w14:val="none"/>
        </w:rPr>
        <w:t>нпр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. 100–200 </w:t>
      </w:r>
      <w:r>
        <w:rPr>
          <w:rFonts w:ascii="Times New Roman" w:eastAsia="Times New Roman" w:hAnsi="Times New Roman" w:cs="Times New Roman"/>
          <w:kern w:val="0"/>
          <w14:ligatures w14:val="none"/>
        </w:rPr>
        <w:t>хиљада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КМ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који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тражи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38B6575" w14:textId="668858C6" w:rsidR="00640874" w:rsidRPr="00640874" w:rsidRDefault="005E4D1F" w:rsidP="00747F81">
      <w:pPr>
        <w:numPr>
          <w:ilvl w:val="1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годишњи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промет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5–10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пута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већи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од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вриједности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набавке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5BFFE97" w14:textId="41E12134" w:rsidR="00640874" w:rsidRPr="00640874" w:rsidRDefault="005E4D1F" w:rsidP="00747F81">
      <w:pPr>
        <w:numPr>
          <w:ilvl w:val="1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велики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број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сличних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референци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2196AC77" w14:textId="0D0F97EA" w:rsidR="00640874" w:rsidRPr="00640874" w:rsidRDefault="005E4D1F" w:rsidP="00747F81">
      <w:pPr>
        <w:numPr>
          <w:ilvl w:val="1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високе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износе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гаранција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Посљедица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само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1–2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велика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могу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испунити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услове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C632141" w14:textId="2396FB9A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Примјер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добре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праксе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71FF9426" w14:textId="34CBFBAE" w:rsidR="00640874" w:rsidRPr="00640874" w:rsidRDefault="005E4D1F" w:rsidP="00747F8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Уговорни</w:t>
      </w:r>
      <w:r w:rsidR="00640874" w:rsidRPr="0064087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орган</w:t>
      </w:r>
      <w:r w:rsidR="00640874" w:rsidRPr="0064087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исти</w:t>
      </w:r>
      <w:r w:rsidR="00640874" w:rsidRPr="0064087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ранг</w:t>
      </w:r>
      <w:r w:rsidR="00640874" w:rsidRPr="0064087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вриједности</w:t>
      </w:r>
      <w:r w:rsidR="00640874" w:rsidRPr="0064087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:</w:t>
      </w:r>
    </w:p>
    <w:p w14:paraId="74E37854" w14:textId="079D27EE" w:rsidR="00640874" w:rsidRPr="00640874" w:rsidRDefault="005E4D1F" w:rsidP="00747F81">
      <w:pPr>
        <w:numPr>
          <w:ilvl w:val="1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тражи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промет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1–2 </w:t>
      </w:r>
      <w:r>
        <w:rPr>
          <w:rFonts w:ascii="Times New Roman" w:eastAsia="Times New Roman" w:hAnsi="Times New Roman" w:cs="Times New Roman"/>
          <w:kern w:val="0"/>
          <w14:ligatures w14:val="none"/>
        </w:rPr>
        <w:t>пута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већи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од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вриједности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набавке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58C188A" w14:textId="1D092D1A" w:rsidR="00640874" w:rsidRPr="00640874" w:rsidRDefault="005E4D1F" w:rsidP="00747F81">
      <w:pPr>
        <w:numPr>
          <w:ilvl w:val="1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дозвољава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комбиноване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референце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14:ligatures w14:val="none"/>
        </w:rPr>
        <w:t>више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мањих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),</w:t>
      </w:r>
    </w:p>
    <w:p w14:paraId="7A9640DE" w14:textId="303E7031" w:rsidR="00640874" w:rsidRPr="00640874" w:rsidRDefault="005E4D1F" w:rsidP="00747F81">
      <w:pPr>
        <w:numPr>
          <w:ilvl w:val="1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смањује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износе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гаранција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разумну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мјеру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Резултат</w:t>
      </w:r>
      <w:r w:rsidR="00640874" w:rsidRPr="0064087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већи</w:t>
      </w:r>
      <w:r w:rsidR="00640874" w:rsidRPr="0064087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број</w:t>
      </w:r>
      <w:r w:rsidR="00640874" w:rsidRPr="0064087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МСП</w:t>
      </w:r>
      <w:r w:rsidR="00640874" w:rsidRPr="0064087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се</w:t>
      </w:r>
      <w:r w:rsidR="00640874" w:rsidRPr="0064087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квалификује</w:t>
      </w:r>
      <w:r w:rsidR="00640874" w:rsidRPr="0064087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и</w:t>
      </w:r>
      <w:r w:rsidR="00640874" w:rsidRPr="0064087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конкуренција</w:t>
      </w:r>
      <w:r w:rsidR="00640874" w:rsidRPr="0064087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расте</w:t>
      </w:r>
      <w:r w:rsidR="00640874" w:rsidRPr="0064087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.</w:t>
      </w:r>
    </w:p>
    <w:p w14:paraId="71438393" w14:textId="3505D690" w:rsidR="00640874" w:rsidRPr="00640874" w:rsidRDefault="00640874" w:rsidP="006408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1B9337" w14:textId="79774DC2" w:rsidR="00640874" w:rsidRPr="00640874" w:rsidRDefault="00640874" w:rsidP="006408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7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.7.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Паметна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употреба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е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-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аукција</w:t>
      </w:r>
    </w:p>
    <w:p w14:paraId="2AEB85B7" w14:textId="60051462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Мјера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:</w:t>
      </w:r>
    </w:p>
    <w:p w14:paraId="28758411" w14:textId="1B07E1C2" w:rsidR="00640874" w:rsidRPr="00640874" w:rsidRDefault="005E4D1F" w:rsidP="00747F81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Обавезно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користити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аукцију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3F5837B3" w14:textId="0CB8F676" w:rsidR="00640874" w:rsidRPr="00640874" w:rsidRDefault="005E4D1F" w:rsidP="00747F81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lastRenderedPageBreak/>
        <w:t>стандардизованим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набавкама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роба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услуга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нпр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канцеларијски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материјал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тонери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основне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потрошне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робе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),</w:t>
      </w:r>
    </w:p>
    <w:p w14:paraId="365D985B" w14:textId="44877DE8" w:rsidR="00640874" w:rsidRPr="00640874" w:rsidRDefault="005E4D1F" w:rsidP="00747F81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поступцима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којима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већ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има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најмање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2–3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валидне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понуде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10068790" w14:textId="35A5098E" w:rsidR="00640874" w:rsidRPr="00640874" w:rsidRDefault="005E4D1F" w:rsidP="00747F81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Анализирати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однос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58B4BE5" w14:textId="0CCBBE8A" w:rsidR="00640874" w:rsidRPr="00640874" w:rsidRDefault="005E4D1F" w:rsidP="00747F81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број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учесника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аукцији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вс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остварена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уштеда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BEB6CF4" w14:textId="26444230" w:rsidR="00640874" w:rsidRPr="00990EEB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Примјер</w:t>
      </w:r>
      <w:r w:rsidR="00640874" w:rsidRPr="00990EE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лоше</w:t>
      </w:r>
      <w:r w:rsidR="00640874" w:rsidRPr="00990EE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праксе</w:t>
      </w:r>
      <w:r w:rsidR="00306E06" w:rsidRPr="00990EE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у</w:t>
      </w:r>
      <w:r w:rsidR="00306E06" w:rsidRPr="00990EE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земљама</w:t>
      </w:r>
      <w:r w:rsidR="00990EEB" w:rsidRPr="00990EE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у</w:t>
      </w:r>
      <w:r w:rsidR="00990EE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региону</w:t>
      </w:r>
      <w:r w:rsidR="00990EE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.</w:t>
      </w:r>
    </w:p>
    <w:p w14:paraId="01BFA18A" w14:textId="6A1439AF" w:rsidR="00640874" w:rsidRPr="00640874" w:rsidRDefault="005E4D1F" w:rsidP="00747F81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Уговорни</w:t>
      </w:r>
      <w:r w:rsidR="00640874" w:rsidRPr="00990EE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</w:t>
      </w:r>
      <w:r w:rsidR="00640874" w:rsidRPr="00990EE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користи</w:t>
      </w:r>
      <w:r w:rsidR="00640874" w:rsidRPr="00990EE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</w:t>
      </w:r>
      <w:r w:rsidR="00640874" w:rsidRPr="00990EE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аукцију</w:t>
      </w:r>
      <w:r w:rsidR="00640874" w:rsidRPr="00990EE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640874" w:rsidRPr="00990EE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поступку</w:t>
      </w:r>
      <w:r w:rsidR="00640874" w:rsidRPr="00990EE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гдје</w:t>
      </w:r>
      <w:r w:rsidR="00640874" w:rsidRPr="00990EE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постоји</w:t>
      </w:r>
      <w:r w:rsidR="00640874" w:rsidRPr="00990EE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само</w:t>
      </w:r>
      <w:r w:rsidR="00640874" w:rsidRPr="00990EE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једна</w:t>
      </w:r>
      <w:r w:rsidR="00640874" w:rsidRPr="00990EE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исправна</w:t>
      </w:r>
      <w:r w:rsidR="00640874" w:rsidRPr="00990EE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понуда</w:t>
      </w:r>
      <w:r w:rsidR="00640874" w:rsidRPr="00990EE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  <w:r w:rsidR="00640874" w:rsidRPr="00990EE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t>Резултат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нема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стварног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надметања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14:ligatures w14:val="none"/>
        </w:rPr>
        <w:t>аукција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само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формалност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FA4D6E4" w14:textId="2E99BC7B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Примјер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добре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праксе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61D4C5AA" w14:textId="06F07B56" w:rsidR="00640874" w:rsidRPr="00640874" w:rsidRDefault="005E4D1F" w:rsidP="00747F81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Тендер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набавку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канцеларијског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материјала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AAFFDA0" w14:textId="00A2892D" w:rsidR="00640874" w:rsidRPr="00640874" w:rsidRDefault="005E4D1F" w:rsidP="00747F81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претквалификацији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или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првој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фази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одабрано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4–5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исправних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30B9257C" w14:textId="6880ECB5" w:rsidR="00640874" w:rsidRPr="001934C4" w:rsidRDefault="005E4D1F" w:rsidP="001934C4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аукција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омогућава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додатно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спуштање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уштеде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5–15%.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Резултат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снажан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цјеновни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притисак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транспарентно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надметање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уштеде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буџет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49DFDE50" w14:textId="6ABDCCF3" w:rsidR="00640874" w:rsidRPr="00640874" w:rsidRDefault="00640874" w:rsidP="006408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7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.8.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Развој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индикатора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трајања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процедура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и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веза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са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конкуренцијом</w:t>
      </w:r>
    </w:p>
    <w:p w14:paraId="2C607BDB" w14:textId="14FEC26C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Мјера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0C7C3D67" w14:textId="1E584F0A" w:rsidR="00640874" w:rsidRPr="00640874" w:rsidRDefault="005E4D1F" w:rsidP="00747F81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Увести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стандардне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индикаторе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54C5EC7" w14:textId="33E56D41" w:rsidR="00640874" w:rsidRPr="00640874" w:rsidRDefault="005E4D1F" w:rsidP="00747F81">
      <w:pPr>
        <w:numPr>
          <w:ilvl w:val="1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вријеме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објаве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истека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рока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2DDCC146" w14:textId="3C09207C" w:rsidR="00640874" w:rsidRPr="00640874" w:rsidRDefault="005E4D1F" w:rsidP="00747F81">
      <w:pPr>
        <w:numPr>
          <w:ilvl w:val="1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вријеме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отварања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одлуке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додјели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08EF7120" w14:textId="5796F9DF" w:rsidR="00640874" w:rsidRPr="00640874" w:rsidRDefault="005E4D1F" w:rsidP="00747F81">
      <w:pPr>
        <w:numPr>
          <w:ilvl w:val="1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укупно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трајање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поступка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закључења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64D3922B" w14:textId="29963706" w:rsidR="00640874" w:rsidRPr="00640874" w:rsidRDefault="005E4D1F" w:rsidP="00747F81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Повезати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их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39B68A5" w14:textId="5BCD3DD4" w:rsidR="00640874" w:rsidRPr="00640874" w:rsidRDefault="005E4D1F" w:rsidP="00747F81">
      <w:pPr>
        <w:numPr>
          <w:ilvl w:val="1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просјечним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бројем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поступку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1C0A406F" w14:textId="53D6D586" w:rsidR="00640874" w:rsidRPr="00640874" w:rsidRDefault="005E4D1F" w:rsidP="00747F81">
      <w:pPr>
        <w:numPr>
          <w:ilvl w:val="1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учесталошћу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поништавања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056A888" w14:textId="42448068" w:rsidR="00640874" w:rsidRPr="00640874" w:rsidRDefault="005E4D1F" w:rsidP="00747F81">
      <w:pPr>
        <w:numPr>
          <w:ilvl w:val="1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употребом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ПБО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директног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споразума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78C4AD1" w14:textId="340BAAF9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Примјер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лоше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праксе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4C1EEC7F" w14:textId="28E782CE" w:rsidR="00640874" w:rsidRPr="00640874" w:rsidRDefault="005E4D1F" w:rsidP="00747F81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Рок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доставу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сложеном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поступку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радови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или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ИТ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10 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дана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документација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обимна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тражи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много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доказа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Резултат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јавља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1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информацију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знао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унапријед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остали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немају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времена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5963A34B" w14:textId="54E87B6F" w:rsidR="00640874" w:rsidRPr="00640874" w:rsidRDefault="005E4D1F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Примјер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добре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праксе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5E7C684F" w14:textId="3BCC1BAE" w:rsidR="00640874" w:rsidRPr="00640874" w:rsidRDefault="005E4D1F" w:rsidP="00747F81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сложене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набавке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рок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је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постављен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30–40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дана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уз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5BA8666" w14:textId="033C91D5" w:rsidR="00640874" w:rsidRPr="00640874" w:rsidRDefault="005E4D1F" w:rsidP="00747F81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јасно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структурирану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документацију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FC2DFE1" w14:textId="055E9FA1" w:rsidR="00640874" w:rsidRDefault="005E4D1F" w:rsidP="00747F81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евентуалну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фазу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питања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појашњења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прије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истека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рока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Резултат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више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има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реалну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шансу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припреми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квалитетну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понуду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17689310" w14:textId="77777777" w:rsidR="00713E0C" w:rsidRPr="00713E0C" w:rsidRDefault="00713E0C" w:rsidP="00713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</w:p>
    <w:p w14:paraId="3302D3A6" w14:textId="0AA59FE9" w:rsidR="00713E0C" w:rsidRPr="00812A91" w:rsidRDefault="005E4D1F" w:rsidP="00747F81">
      <w:pPr>
        <w:pStyle w:val="ListParagraph"/>
        <w:numPr>
          <w:ilvl w:val="0"/>
          <w:numId w:val="49"/>
        </w:num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Анализа</w:t>
      </w:r>
      <w:r w:rsidR="00713E0C" w:rsidRPr="00812A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конкуренције</w:t>
      </w:r>
      <w:r w:rsidR="00713E0C" w:rsidRPr="00812A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перспектива</w:t>
      </w:r>
      <w:r w:rsidR="00713E0C" w:rsidRPr="00812A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уговорних</w:t>
      </w:r>
      <w:r w:rsidR="00713E0C" w:rsidRPr="00812A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органа</w:t>
      </w:r>
    </w:p>
    <w:p w14:paraId="38D36718" w14:textId="1BB8CC46" w:rsidR="00713E0C" w:rsidRPr="00713E0C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Ово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поглавље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детаљну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кључних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аспеката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унутар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јавних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посматрано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перспективе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потенцијалних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уз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фокус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идентификацију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ризика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структурних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слабости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препоручених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мјера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унапређења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0E7E6737" w14:textId="2019EFDB" w:rsidR="00713E0C" w:rsidRPr="00713E0C" w:rsidRDefault="00713E0C" w:rsidP="00713E0C">
      <w:pP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9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.1.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Планирање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набавки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као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детерминанта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тржишне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конкурентности</w:t>
      </w:r>
    </w:p>
    <w:p w14:paraId="1CA9A512" w14:textId="78102D95" w:rsidR="00713E0C" w:rsidRPr="00713E0C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Ефикасно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планирање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представља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основу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стабилно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предвидиво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окружење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планова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показује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одступања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процијењених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неправовремена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припрема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документације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повећана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учесталост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хитних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негативно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утичу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интерес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Недостатак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реалних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процјена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количина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резултира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смањењем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повећањем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учесталости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поништавања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падом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повјерења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169BA5CC" w14:textId="1CF8D5B2" w:rsidR="00713E0C" w:rsidRPr="00713E0C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Препоручује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успостављање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интегрисаних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база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података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формализираних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процедура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интерног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планирања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укључују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употребу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хисторијских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података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вишегодишњег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програмирања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AE2615F" w14:textId="32C9F686" w:rsidR="00713E0C" w:rsidRPr="00713E0C" w:rsidRDefault="00713E0C" w:rsidP="00713E0C">
      <w:pP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9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.2.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Квалитет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техничких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спецификација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услова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учешћа</w:t>
      </w:r>
    </w:p>
    <w:p w14:paraId="23C48A10" w14:textId="0DE2CA0F" w:rsidR="00713E0C" w:rsidRPr="00713E0C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Нејасне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преуске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или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прекомјерно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разрађене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техничке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спецификације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често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представљају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ограничавајући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фактор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досадашњих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показује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спецификације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нису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усклађене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тржишним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стандардима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или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непотребно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рестриктивне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доводе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смањења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квалификованих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повећања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процедуралних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спорова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537F0BEA" w14:textId="3488F097" w:rsidR="00713E0C" w:rsidRPr="00713E0C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циљу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јачања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препоручује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стандардизација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техничких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спецификација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типичне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увођење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поступка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претходних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консултација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редовна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ревизија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критерија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квалификације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како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осигурало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они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буду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пропорционални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врсти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907664C" w14:textId="4C03CD64" w:rsidR="00713E0C" w:rsidRPr="00713E0C" w:rsidRDefault="00713E0C" w:rsidP="00713E0C">
      <w:pP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9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.3.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Транспарентност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поступка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доступност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документације</w:t>
      </w:r>
    </w:p>
    <w:p w14:paraId="4F79B617" w14:textId="3C0B3D63" w:rsidR="00713E0C" w:rsidRPr="00097189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Правовремена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потпуна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објава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тендера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техничке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документације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сва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релевантних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информација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представља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основни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предуслов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адекватно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учешће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указује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кашњења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објавама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честе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измјене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документације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недовољно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јасни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рокови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смањују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интерес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привредних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субјеката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директно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утичу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пад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6A88AB8E" w14:textId="26A92E22" w:rsidR="00713E0C" w:rsidRPr="00097189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lastRenderedPageBreak/>
        <w:t>Препоручује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строго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поштивање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минималних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рокова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сложеније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поступке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досљедно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кориштење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електронских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платформи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комуникацију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осигурање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правовремене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доступности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свих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информација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свим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фазама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поступка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9101A99" w14:textId="2B1CF655" w:rsidR="00713E0C" w:rsidRPr="00713E0C" w:rsidRDefault="00713E0C" w:rsidP="00713E0C">
      <w:pP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9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.4.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Структура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тржишта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заступљеност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понуђача</w:t>
      </w:r>
    </w:p>
    <w:p w14:paraId="4A63599A" w14:textId="36BC2A4A" w:rsidR="00713E0C" w:rsidRPr="00713E0C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структуре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указује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појаву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којима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доминира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мали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што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повећава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ризик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концентрације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смањује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динамику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Посебно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препоручује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праћење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процента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примају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само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једну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идентификација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континуирано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ниским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нивоом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тржишног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такмичења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720542BE" w14:textId="372D24F7" w:rsidR="00713E0C" w:rsidRPr="00713E0C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циљу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диверсификације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тржишног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учешћа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препоручује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потицање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учешћа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малих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средњих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предузећа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кроз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одговарајуће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прилагођавање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обима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подјелу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предмета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ЛОТ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ове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ублажавање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неоправдано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рестриктивних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услова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учешћа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46C94BE3" w14:textId="646107BA" w:rsidR="00713E0C" w:rsidRPr="00713E0C" w:rsidRDefault="00713E0C" w:rsidP="00713E0C">
      <w:pP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9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.5.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Жалбе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,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поништавања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процедурални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ризици</w:t>
      </w:r>
    </w:p>
    <w:p w14:paraId="14DA3262" w14:textId="10635CB7" w:rsidR="00713E0C" w:rsidRPr="00713E0C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Висока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учесталост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жалби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поништавања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тендера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указује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постојање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процедуралних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слабости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смањују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повећавају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ризик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најчешћих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разлога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жалбе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показује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највећи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спорова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односи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нејасно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дефинисане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критерије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квалификације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техничке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спецификације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неправилности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евалуацији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4993E291" w14:textId="06AA7CC1" w:rsidR="00713E0C" w:rsidRPr="00713E0C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Препоручује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увођење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интерних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механизама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контроле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квалитета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документације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објаве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континуирана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обука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чланова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комисија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јавне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како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смањио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процедуралних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пропуста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8D8788D" w14:textId="1B51AFBA" w:rsidR="00713E0C" w:rsidRPr="00713E0C" w:rsidRDefault="00713E0C" w:rsidP="00713E0C">
      <w:pP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9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.6.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Критерији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додјеле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њихов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утицај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на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конкуренцију</w:t>
      </w:r>
    </w:p>
    <w:p w14:paraId="68C5262F" w14:textId="020CF94E" w:rsidR="00713E0C" w:rsidRPr="00713E0C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Кориштење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критерија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најниже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доминантног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фактора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додјели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показало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ограничавајући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фактор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квалитета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иновација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дугорочне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вриједности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указује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вишекритеријска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евалуација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нпр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економски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најповољнија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тотал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цост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оф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w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нерсхип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може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довести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повећаног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интересовања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стабилније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смањења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ризика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ниске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квалитете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14A96CAB" w14:textId="0AF79BA2" w:rsidR="00713E0C" w:rsidRPr="00713E0C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Уговорним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органима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препоручује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кад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год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оправдано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користе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квалитативне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критерије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укључују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дугорочне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трошкове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квалитету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одрживост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техничку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поузданост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09157E6A" w14:textId="453F15B0" w:rsidR="00713E0C" w:rsidRPr="00812A91" w:rsidRDefault="00713E0C" w:rsidP="00713E0C">
      <w:pPr>
        <w:jc w:val="both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0F0F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10.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Анализа</w:t>
      </w:r>
      <w:r w:rsidRPr="000F0F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конкуренције</w:t>
      </w:r>
      <w:r w:rsidRPr="000F0F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–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перспектива</w:t>
      </w:r>
      <w:r w:rsidRPr="000F0F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понуђача</w:t>
      </w:r>
    </w:p>
    <w:p w14:paraId="189F5F48" w14:textId="0550781C" w:rsidR="00713E0C" w:rsidRPr="00713E0C" w:rsidRDefault="00713E0C" w:rsidP="00713E0C">
      <w:pP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10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.1.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Процјена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услова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захтјева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прије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учешћа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у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поступку</w:t>
      </w:r>
    </w:p>
    <w:p w14:paraId="52FB04EC" w14:textId="1D00880B" w:rsidR="00713E0C" w:rsidRPr="00713E0C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Успјешност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поступцима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јавних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значајној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мјери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зависи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њихове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способности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правилно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процијене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сложеност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захтјеве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тендера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показује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lastRenderedPageBreak/>
        <w:t>велики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буде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одбачен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због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процедуралних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погрешака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недовољног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познавања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законског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оквира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или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погрешног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тумачења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техничких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захтјева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1995CFAC" w14:textId="749BC3B3" w:rsidR="00713E0C" w:rsidRPr="00713E0C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Препоручује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систематска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сваког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тендера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доношења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одлуке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учешћу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укључујући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евалуацију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услова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квалификације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рокова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техничких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захтјева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могућих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ризика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4F9CE1A7" w14:textId="15229303" w:rsidR="00713E0C" w:rsidRPr="00E274AC" w:rsidRDefault="00713E0C" w:rsidP="00713E0C">
      <w:pP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 w:rsidRPr="00E274A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10.2.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Идентификација</w:t>
      </w:r>
      <w:r w:rsidRPr="00E274A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сектора</w:t>
      </w:r>
      <w:r w:rsidRPr="00E274A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</w:t>
      </w:r>
      <w:r w:rsidRPr="00E274A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ниском</w:t>
      </w:r>
      <w:r w:rsidRPr="00E274A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конкуренцијом</w:t>
      </w:r>
    </w:p>
    <w:p w14:paraId="4CE4B972" w14:textId="091FDFC1" w:rsidR="00713E0C" w:rsidRPr="00713E0C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Понуђачи</w:t>
      </w:r>
      <w:r w:rsidR="00713E0C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који</w:t>
      </w:r>
      <w:r w:rsidR="00713E0C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активно</w:t>
      </w:r>
      <w:r w:rsidR="00713E0C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прате</w:t>
      </w:r>
      <w:r w:rsidR="00713E0C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тржишне</w:t>
      </w:r>
      <w:r w:rsidR="00713E0C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трендове</w:t>
      </w:r>
      <w:r w:rsidR="00713E0C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идентификују</w:t>
      </w:r>
      <w:r w:rsidR="00713E0C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секторе</w:t>
      </w:r>
      <w:r w:rsidR="00713E0C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</w:t>
      </w:r>
      <w:r w:rsidR="00713E0C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нижим</w:t>
      </w:r>
      <w:r w:rsidR="00713E0C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нивоом</w:t>
      </w:r>
      <w:r w:rsidR="00713E0C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конкуренције</w:t>
      </w:r>
      <w:r w:rsidR="00713E0C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остварују</w:t>
      </w:r>
      <w:r w:rsidR="00713E0C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значајне</w:t>
      </w:r>
      <w:r w:rsidR="00713E0C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компаративне</w:t>
      </w:r>
      <w:r w:rsidR="00713E0C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предности</w:t>
      </w:r>
      <w:r w:rsidR="00713E0C"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доступних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података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просјечном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учесталости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жалби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структури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учесника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омогућава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препознавање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ниша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којима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постоје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веће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шансе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успјех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BA5CBC0" w14:textId="4A7C9377" w:rsidR="00713E0C" w:rsidRPr="00713E0C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Понуђачима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препоручује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кориштење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аналитичких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алата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статистичких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извјештаја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платформи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јавних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ради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систематског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праћења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прилика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44ABBDC6" w14:textId="550A4DBF" w:rsidR="00713E0C" w:rsidRPr="00713E0C" w:rsidRDefault="00713E0C" w:rsidP="00713E0C">
      <w:pP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10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.3.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Анализа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конкурентских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профила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стратегија</w:t>
      </w:r>
    </w:p>
    <w:p w14:paraId="014DD228" w14:textId="22521B90" w:rsidR="00713E0C" w:rsidRPr="00713E0C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Детаљна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профила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конкурентских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укључујући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њихове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референце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капацитете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цјеновне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стратегије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секторску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присутност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омогућава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развој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диференцираних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јачање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позиције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Препоручује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праћење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резултата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претходних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поступака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идентификација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фирми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континуирано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побјеђују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одређеним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секторима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њихових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техничких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организационих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предности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5FCF25BE" w14:textId="4C5EC277" w:rsidR="00713E0C" w:rsidRPr="00713E0C" w:rsidRDefault="00713E0C" w:rsidP="00713E0C">
      <w:pP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10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.4.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Могућности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заједничких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понуда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партнерстава</w:t>
      </w:r>
    </w:p>
    <w:p w14:paraId="60BD3B20" w14:textId="42CE5236" w:rsidR="00713E0C" w:rsidRPr="00097189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Удруживање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кроз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конзорције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или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подуговарање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представља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значајан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механизам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јачања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конкурентске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способности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малих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средњих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предузећа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показује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заједнички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наступи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повећавају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шансе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успјех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комплексним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набавкама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омогућавају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дијељење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ресурса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смањују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ризике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3CC06F8F" w14:textId="7FE06201" w:rsidR="00713E0C" w:rsidRPr="00097189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Препоручује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систематска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процјена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могућности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партнерстава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посебно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секторима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високом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техничком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финансијском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сложеношћу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25E52A0" w14:textId="06DB2944" w:rsidR="00713E0C" w:rsidRPr="00713E0C" w:rsidRDefault="00713E0C" w:rsidP="00713E0C">
      <w:pP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10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.5.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Евалуација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властитог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учинка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и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јачање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капацитета</w:t>
      </w:r>
    </w:p>
    <w:p w14:paraId="3B20E28B" w14:textId="699487A2" w:rsidR="00713E0C" w:rsidRPr="00713E0C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Преглед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претходних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разлога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одбијања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процјена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успјеха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пружају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кључне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информације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унапређење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интерних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процедура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компетенција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требају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развијати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интерне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механизме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контроле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квалитета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инвестирати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едукацију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запосленика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континуирано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унапређивати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административне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техничке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капацитете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448842F0" w14:textId="5E8AF8BC" w:rsidR="00713E0C" w:rsidRPr="00713E0C" w:rsidRDefault="00713E0C" w:rsidP="00713E0C">
      <w:pP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10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.6.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Анализа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критерија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евалуације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као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алат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за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стратегијско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E4D1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позиционирање</w:t>
      </w:r>
    </w:p>
    <w:p w14:paraId="5E0D39AA" w14:textId="4F1D55FC" w:rsidR="00713E0C" w:rsidRPr="00713E0C" w:rsidRDefault="005E4D1F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требају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детаљно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анализирати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критерије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додјеле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како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одредили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којим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поступцима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постоји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највише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простора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диференцијацију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само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кроз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цијену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него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кроз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lastRenderedPageBreak/>
        <w:t>квалитетну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техничку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понуду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иновативна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рјешења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еколошке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стандарде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или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дугорочне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користи</w:t>
      </w:r>
      <w:r w:rsidR="00713E0C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4E6ABE21" w14:textId="05DDD9A5" w:rsidR="00713E0C" w:rsidRPr="00713E0C" w:rsidRDefault="005E4D1F" w:rsidP="000F0FED">
      <w:pPr>
        <w:jc w:val="center"/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Закључак</w:t>
      </w:r>
    </w:p>
    <w:p w14:paraId="4C244E83" w14:textId="6797A6E1" w:rsidR="0021204D" w:rsidRPr="00097189" w:rsidRDefault="005E4D1F" w:rsidP="00097189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Анализа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конкуренције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представља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кључни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механизам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мјерење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ефикасности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јавних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идентификацију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подручја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којима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потребно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дјеловати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ради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унапређења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тржишног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такмичења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Уговорни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кроз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боље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планирање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унапређење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техничке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документације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осигурање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транспарентности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кориштење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адекватних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критерија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имају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пресудну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улогу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стварању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повољног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амбијента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за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учешће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тржишта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Истовремено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понуђачи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требају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развијати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властите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аналитичке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организационе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техничке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капацитете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како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максимално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искористили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доступне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тржишне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прилике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  <w:r w:rsid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Примјена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препоручених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мјера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допринијеће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повећању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броја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учесника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поступцима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смањењу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правних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спорова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подизању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квалитета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јавних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услуга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инвестиција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чиме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се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директно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јача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интегритет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ефикасност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система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јавних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набавки</w:t>
      </w:r>
      <w:r w:rsidR="00713E0C"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DDC0840" w14:textId="77777777" w:rsidR="00640874" w:rsidRPr="00097189" w:rsidRDefault="00640874" w:rsidP="00097189">
      <w:pPr>
        <w:jc w:val="both"/>
        <w:rPr>
          <w:lang w:val="pt-BR"/>
        </w:rPr>
      </w:pPr>
    </w:p>
    <w:sectPr w:rsidR="00640874" w:rsidRPr="000971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E65"/>
    <w:multiLevelType w:val="multilevel"/>
    <w:tmpl w:val="3A24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85563"/>
    <w:multiLevelType w:val="multilevel"/>
    <w:tmpl w:val="F168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E907D8"/>
    <w:multiLevelType w:val="multilevel"/>
    <w:tmpl w:val="1C4A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004618"/>
    <w:multiLevelType w:val="multilevel"/>
    <w:tmpl w:val="6DCE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5922A3"/>
    <w:multiLevelType w:val="multilevel"/>
    <w:tmpl w:val="F71C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27405A"/>
    <w:multiLevelType w:val="multilevel"/>
    <w:tmpl w:val="D6FC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D64291"/>
    <w:multiLevelType w:val="multilevel"/>
    <w:tmpl w:val="F004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028DF"/>
    <w:multiLevelType w:val="multilevel"/>
    <w:tmpl w:val="43E2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53667C"/>
    <w:multiLevelType w:val="multilevel"/>
    <w:tmpl w:val="D314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482CF6"/>
    <w:multiLevelType w:val="multilevel"/>
    <w:tmpl w:val="3FFE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034A93"/>
    <w:multiLevelType w:val="multilevel"/>
    <w:tmpl w:val="7FB6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DB6C79"/>
    <w:multiLevelType w:val="multilevel"/>
    <w:tmpl w:val="3310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C8742C"/>
    <w:multiLevelType w:val="multilevel"/>
    <w:tmpl w:val="0082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097F4B"/>
    <w:multiLevelType w:val="multilevel"/>
    <w:tmpl w:val="280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142FB8"/>
    <w:multiLevelType w:val="multilevel"/>
    <w:tmpl w:val="A850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2D5FEC"/>
    <w:multiLevelType w:val="multilevel"/>
    <w:tmpl w:val="280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9576A7"/>
    <w:multiLevelType w:val="multilevel"/>
    <w:tmpl w:val="5BB4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7443126"/>
    <w:multiLevelType w:val="multilevel"/>
    <w:tmpl w:val="8D26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2E5881"/>
    <w:multiLevelType w:val="multilevel"/>
    <w:tmpl w:val="08D6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C739E6"/>
    <w:multiLevelType w:val="multilevel"/>
    <w:tmpl w:val="D2AC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324043"/>
    <w:multiLevelType w:val="multilevel"/>
    <w:tmpl w:val="3448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9E0609F"/>
    <w:multiLevelType w:val="multilevel"/>
    <w:tmpl w:val="0AB4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0A46BEE"/>
    <w:multiLevelType w:val="multilevel"/>
    <w:tmpl w:val="9E84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30352D2"/>
    <w:multiLevelType w:val="multilevel"/>
    <w:tmpl w:val="09C0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3400C05"/>
    <w:multiLevelType w:val="multilevel"/>
    <w:tmpl w:val="280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3407853"/>
    <w:multiLevelType w:val="multilevel"/>
    <w:tmpl w:val="D6B22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7576EBA"/>
    <w:multiLevelType w:val="multilevel"/>
    <w:tmpl w:val="32AE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7D60128"/>
    <w:multiLevelType w:val="multilevel"/>
    <w:tmpl w:val="1256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7E548C3"/>
    <w:multiLevelType w:val="multilevel"/>
    <w:tmpl w:val="407E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82E3557"/>
    <w:multiLevelType w:val="multilevel"/>
    <w:tmpl w:val="F226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8DC45AD"/>
    <w:multiLevelType w:val="multilevel"/>
    <w:tmpl w:val="8660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A13615E"/>
    <w:multiLevelType w:val="multilevel"/>
    <w:tmpl w:val="280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A6F0C7F"/>
    <w:multiLevelType w:val="multilevel"/>
    <w:tmpl w:val="0ADC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A717655"/>
    <w:multiLevelType w:val="multilevel"/>
    <w:tmpl w:val="F4E8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E0F2995"/>
    <w:multiLevelType w:val="multilevel"/>
    <w:tmpl w:val="0A1C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10421B4"/>
    <w:multiLevelType w:val="multilevel"/>
    <w:tmpl w:val="479E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22152B6"/>
    <w:multiLevelType w:val="multilevel"/>
    <w:tmpl w:val="9EDC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34B13AC"/>
    <w:multiLevelType w:val="multilevel"/>
    <w:tmpl w:val="280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3DA682E"/>
    <w:multiLevelType w:val="multilevel"/>
    <w:tmpl w:val="03B8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3F6158A"/>
    <w:multiLevelType w:val="multilevel"/>
    <w:tmpl w:val="EBAA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4207A09"/>
    <w:multiLevelType w:val="multilevel"/>
    <w:tmpl w:val="280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48D5332"/>
    <w:multiLevelType w:val="multilevel"/>
    <w:tmpl w:val="E326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6267C27"/>
    <w:multiLevelType w:val="multilevel"/>
    <w:tmpl w:val="4BB0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66450F3"/>
    <w:multiLevelType w:val="multilevel"/>
    <w:tmpl w:val="8728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7CF4DAD"/>
    <w:multiLevelType w:val="multilevel"/>
    <w:tmpl w:val="629E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8CE0524"/>
    <w:multiLevelType w:val="multilevel"/>
    <w:tmpl w:val="AD8EB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8E97479"/>
    <w:multiLevelType w:val="multilevel"/>
    <w:tmpl w:val="468E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AC42AD2"/>
    <w:multiLevelType w:val="multilevel"/>
    <w:tmpl w:val="F7C2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ACD084F"/>
    <w:multiLevelType w:val="multilevel"/>
    <w:tmpl w:val="DDB8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D465EAD"/>
    <w:multiLevelType w:val="multilevel"/>
    <w:tmpl w:val="B0F0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E4C1BD6"/>
    <w:multiLevelType w:val="multilevel"/>
    <w:tmpl w:val="4102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16D45E2"/>
    <w:multiLevelType w:val="multilevel"/>
    <w:tmpl w:val="723C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48C7790"/>
    <w:multiLevelType w:val="multilevel"/>
    <w:tmpl w:val="350C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5574E77"/>
    <w:multiLevelType w:val="multilevel"/>
    <w:tmpl w:val="E866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6D22B1B"/>
    <w:multiLevelType w:val="multilevel"/>
    <w:tmpl w:val="C15A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744468B"/>
    <w:multiLevelType w:val="multilevel"/>
    <w:tmpl w:val="2E84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B0A0245"/>
    <w:multiLevelType w:val="multilevel"/>
    <w:tmpl w:val="280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CC27644"/>
    <w:multiLevelType w:val="multilevel"/>
    <w:tmpl w:val="0896B6FC"/>
    <w:lvl w:ilvl="0">
      <w:start w:val="1"/>
      <w:numFmt w:val="decimal"/>
      <w:lvlText w:val="%1."/>
      <w:lvlJc w:val="left"/>
      <w:pPr>
        <w:ind w:left="420" w:hanging="420"/>
      </w:pPr>
      <w:rPr>
        <w:rFonts w:ascii="Aptos" w:hAnsi="Aptos" w:cs="Aptos" w:hint="default"/>
        <w:b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ascii="Aptos" w:hAnsi="Aptos" w:cs="Aptos" w:hint="default"/>
        <w:b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ascii="Aptos" w:hAnsi="Aptos" w:cs="Aptos" w:hint="default"/>
        <w:b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ascii="Aptos" w:hAnsi="Aptos" w:cs="Aptos" w:hint="default"/>
        <w:b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ascii="Aptos" w:hAnsi="Aptos" w:cs="Aptos" w:hint="default"/>
        <w:b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ascii="Aptos" w:hAnsi="Aptos" w:cs="Aptos" w:hint="default"/>
        <w:b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ascii="Aptos" w:hAnsi="Aptos" w:cs="Aptos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Aptos" w:hAnsi="Aptos" w:cs="Aptos" w:hint="default"/>
        <w:b/>
      </w:rPr>
    </w:lvl>
  </w:abstractNum>
  <w:abstractNum w:abstractNumId="58" w15:restartNumberingAfterBreak="0">
    <w:nsid w:val="4E3F0F39"/>
    <w:multiLevelType w:val="multilevel"/>
    <w:tmpl w:val="8436A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124176B"/>
    <w:multiLevelType w:val="multilevel"/>
    <w:tmpl w:val="1B94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22768D5"/>
    <w:multiLevelType w:val="multilevel"/>
    <w:tmpl w:val="280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5A569AA"/>
    <w:multiLevelType w:val="multilevel"/>
    <w:tmpl w:val="D902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6A11FC1"/>
    <w:multiLevelType w:val="multilevel"/>
    <w:tmpl w:val="B22C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98A587C"/>
    <w:multiLevelType w:val="multilevel"/>
    <w:tmpl w:val="B39E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9CC3301"/>
    <w:multiLevelType w:val="multilevel"/>
    <w:tmpl w:val="280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ADD2054"/>
    <w:multiLevelType w:val="multilevel"/>
    <w:tmpl w:val="FA3E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B5B03F3"/>
    <w:multiLevelType w:val="multilevel"/>
    <w:tmpl w:val="5076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B840E11"/>
    <w:multiLevelType w:val="multilevel"/>
    <w:tmpl w:val="280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C0B5F72"/>
    <w:multiLevelType w:val="multilevel"/>
    <w:tmpl w:val="280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E1F18D2"/>
    <w:multiLevelType w:val="multilevel"/>
    <w:tmpl w:val="280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E540BD0"/>
    <w:multiLevelType w:val="multilevel"/>
    <w:tmpl w:val="BC885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E55304C"/>
    <w:multiLevelType w:val="multilevel"/>
    <w:tmpl w:val="0B02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E9F50B5"/>
    <w:multiLevelType w:val="multilevel"/>
    <w:tmpl w:val="08EA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F424198"/>
    <w:multiLevelType w:val="multilevel"/>
    <w:tmpl w:val="25EE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F6D2680"/>
    <w:multiLevelType w:val="multilevel"/>
    <w:tmpl w:val="5D06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F9E6D3F"/>
    <w:multiLevelType w:val="multilevel"/>
    <w:tmpl w:val="90A4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0060FCF"/>
    <w:multiLevelType w:val="multilevel"/>
    <w:tmpl w:val="6D14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3046F14"/>
    <w:multiLevelType w:val="multilevel"/>
    <w:tmpl w:val="4E3E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3E47039"/>
    <w:multiLevelType w:val="multilevel"/>
    <w:tmpl w:val="2754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47B0392"/>
    <w:multiLevelType w:val="multilevel"/>
    <w:tmpl w:val="280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566342E"/>
    <w:multiLevelType w:val="multilevel"/>
    <w:tmpl w:val="2180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68E14BF"/>
    <w:multiLevelType w:val="hybridMultilevel"/>
    <w:tmpl w:val="35D80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B0869B7"/>
    <w:multiLevelType w:val="multilevel"/>
    <w:tmpl w:val="9BEE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07622D3"/>
    <w:multiLevelType w:val="hybridMultilevel"/>
    <w:tmpl w:val="E8CA4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11327C8"/>
    <w:multiLevelType w:val="multilevel"/>
    <w:tmpl w:val="9F1E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1133093"/>
    <w:multiLevelType w:val="multilevel"/>
    <w:tmpl w:val="51E6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2643A83"/>
    <w:multiLevelType w:val="multilevel"/>
    <w:tmpl w:val="E4E8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2656DF1"/>
    <w:multiLevelType w:val="multilevel"/>
    <w:tmpl w:val="FED6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8B05670"/>
    <w:multiLevelType w:val="multilevel"/>
    <w:tmpl w:val="8AB6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8E70428"/>
    <w:multiLevelType w:val="multilevel"/>
    <w:tmpl w:val="5C36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9E76CD8"/>
    <w:multiLevelType w:val="multilevel"/>
    <w:tmpl w:val="B868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A434252"/>
    <w:multiLevelType w:val="multilevel"/>
    <w:tmpl w:val="F07C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BA1140E"/>
    <w:multiLevelType w:val="multilevel"/>
    <w:tmpl w:val="280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E426D92"/>
    <w:multiLevelType w:val="multilevel"/>
    <w:tmpl w:val="B86E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1841327">
    <w:abstractNumId w:val="48"/>
  </w:num>
  <w:num w:numId="2" w16cid:durableId="1949193275">
    <w:abstractNumId w:val="77"/>
  </w:num>
  <w:num w:numId="3" w16cid:durableId="945889763">
    <w:abstractNumId w:val="38"/>
  </w:num>
  <w:num w:numId="4" w16cid:durableId="635450714">
    <w:abstractNumId w:val="47"/>
  </w:num>
  <w:num w:numId="5" w16cid:durableId="1865049784">
    <w:abstractNumId w:val="8"/>
  </w:num>
  <w:num w:numId="6" w16cid:durableId="1905792834">
    <w:abstractNumId w:val="93"/>
  </w:num>
  <w:num w:numId="7" w16cid:durableId="1863472036">
    <w:abstractNumId w:val="82"/>
  </w:num>
  <w:num w:numId="8" w16cid:durableId="407196111">
    <w:abstractNumId w:val="11"/>
  </w:num>
  <w:num w:numId="9" w16cid:durableId="458492482">
    <w:abstractNumId w:val="21"/>
  </w:num>
  <w:num w:numId="10" w16cid:durableId="1931624162">
    <w:abstractNumId w:val="46"/>
  </w:num>
  <w:num w:numId="11" w16cid:durableId="607127082">
    <w:abstractNumId w:val="72"/>
  </w:num>
  <w:num w:numId="12" w16cid:durableId="1398942805">
    <w:abstractNumId w:val="90"/>
  </w:num>
  <w:num w:numId="13" w16cid:durableId="1235359574">
    <w:abstractNumId w:val="25"/>
  </w:num>
  <w:num w:numId="14" w16cid:durableId="623004450">
    <w:abstractNumId w:val="20"/>
  </w:num>
  <w:num w:numId="15" w16cid:durableId="467015317">
    <w:abstractNumId w:val="10"/>
  </w:num>
  <w:num w:numId="16" w16cid:durableId="1812402827">
    <w:abstractNumId w:val="89"/>
  </w:num>
  <w:num w:numId="17" w16cid:durableId="719061500">
    <w:abstractNumId w:val="4"/>
  </w:num>
  <w:num w:numId="18" w16cid:durableId="1751539666">
    <w:abstractNumId w:val="54"/>
  </w:num>
  <w:num w:numId="19" w16cid:durableId="1955481394">
    <w:abstractNumId w:val="43"/>
  </w:num>
  <w:num w:numId="20" w16cid:durableId="1659457454">
    <w:abstractNumId w:val="5"/>
  </w:num>
  <w:num w:numId="21" w16cid:durableId="266352024">
    <w:abstractNumId w:val="14"/>
  </w:num>
  <w:num w:numId="22" w16cid:durableId="2080974986">
    <w:abstractNumId w:val="6"/>
  </w:num>
  <w:num w:numId="23" w16cid:durableId="1609118255">
    <w:abstractNumId w:val="9"/>
  </w:num>
  <w:num w:numId="24" w16cid:durableId="1516117">
    <w:abstractNumId w:val="0"/>
  </w:num>
  <w:num w:numId="25" w16cid:durableId="657803619">
    <w:abstractNumId w:val="55"/>
  </w:num>
  <w:num w:numId="26" w16cid:durableId="1554190454">
    <w:abstractNumId w:val="18"/>
  </w:num>
  <w:num w:numId="27" w16cid:durableId="1224026544">
    <w:abstractNumId w:val="35"/>
  </w:num>
  <w:num w:numId="28" w16cid:durableId="648823192">
    <w:abstractNumId w:val="92"/>
  </w:num>
  <w:num w:numId="29" w16cid:durableId="1845122088">
    <w:abstractNumId w:val="73"/>
  </w:num>
  <w:num w:numId="30" w16cid:durableId="1232042752">
    <w:abstractNumId w:val="52"/>
  </w:num>
  <w:num w:numId="31" w16cid:durableId="854610009">
    <w:abstractNumId w:val="3"/>
  </w:num>
  <w:num w:numId="32" w16cid:durableId="1246956998">
    <w:abstractNumId w:val="32"/>
  </w:num>
  <w:num w:numId="33" w16cid:durableId="32460235">
    <w:abstractNumId w:val="16"/>
  </w:num>
  <w:num w:numId="34" w16cid:durableId="382486729">
    <w:abstractNumId w:val="44"/>
  </w:num>
  <w:num w:numId="35" w16cid:durableId="1319840556">
    <w:abstractNumId w:val="17"/>
  </w:num>
  <w:num w:numId="36" w16cid:durableId="1623226103">
    <w:abstractNumId w:val="85"/>
  </w:num>
  <w:num w:numId="37" w16cid:durableId="397746826">
    <w:abstractNumId w:val="41"/>
  </w:num>
  <w:num w:numId="38" w16cid:durableId="1446272935">
    <w:abstractNumId w:val="58"/>
  </w:num>
  <w:num w:numId="39" w16cid:durableId="45490215">
    <w:abstractNumId w:val="61"/>
  </w:num>
  <w:num w:numId="40" w16cid:durableId="1483962922">
    <w:abstractNumId w:val="22"/>
  </w:num>
  <w:num w:numId="41" w16cid:durableId="250966355">
    <w:abstractNumId w:val="91"/>
  </w:num>
  <w:num w:numId="42" w16cid:durableId="2001344021">
    <w:abstractNumId w:val="66"/>
  </w:num>
  <w:num w:numId="43" w16cid:durableId="446509933">
    <w:abstractNumId w:val="63"/>
  </w:num>
  <w:num w:numId="44" w16cid:durableId="2133132552">
    <w:abstractNumId w:val="30"/>
  </w:num>
  <w:num w:numId="45" w16cid:durableId="1354528604">
    <w:abstractNumId w:val="33"/>
  </w:num>
  <w:num w:numId="46" w16cid:durableId="875890772">
    <w:abstractNumId w:val="80"/>
  </w:num>
  <w:num w:numId="47" w16cid:durableId="2087797256">
    <w:abstractNumId w:val="45"/>
  </w:num>
  <w:num w:numId="48" w16cid:durableId="1579710768">
    <w:abstractNumId w:val="71"/>
  </w:num>
  <w:num w:numId="49" w16cid:durableId="393085351">
    <w:abstractNumId w:val="70"/>
  </w:num>
  <w:num w:numId="50" w16cid:durableId="697854806">
    <w:abstractNumId w:val="75"/>
  </w:num>
  <w:num w:numId="51" w16cid:durableId="194343681">
    <w:abstractNumId w:val="7"/>
  </w:num>
  <w:num w:numId="52" w16cid:durableId="158035344">
    <w:abstractNumId w:val="42"/>
  </w:num>
  <w:num w:numId="53" w16cid:durableId="371078846">
    <w:abstractNumId w:val="86"/>
  </w:num>
  <w:num w:numId="54" w16cid:durableId="1151020880">
    <w:abstractNumId w:val="65"/>
  </w:num>
  <w:num w:numId="55" w16cid:durableId="2041513141">
    <w:abstractNumId w:val="50"/>
  </w:num>
  <w:num w:numId="56" w16cid:durableId="693655034">
    <w:abstractNumId w:val="39"/>
  </w:num>
  <w:num w:numId="57" w16cid:durableId="788360013">
    <w:abstractNumId w:val="19"/>
  </w:num>
  <w:num w:numId="58" w16cid:durableId="2118326763">
    <w:abstractNumId w:val="36"/>
  </w:num>
  <w:num w:numId="59" w16cid:durableId="1316300898">
    <w:abstractNumId w:val="12"/>
  </w:num>
  <w:num w:numId="60" w16cid:durableId="946541473">
    <w:abstractNumId w:val="84"/>
  </w:num>
  <w:num w:numId="61" w16cid:durableId="1277562622">
    <w:abstractNumId w:val="34"/>
  </w:num>
  <w:num w:numId="62" w16cid:durableId="19092841">
    <w:abstractNumId w:val="76"/>
  </w:num>
  <w:num w:numId="63" w16cid:durableId="1913857307">
    <w:abstractNumId w:val="78"/>
  </w:num>
  <w:num w:numId="64" w16cid:durableId="1599482878">
    <w:abstractNumId w:val="23"/>
  </w:num>
  <w:num w:numId="65" w16cid:durableId="1699117635">
    <w:abstractNumId w:val="87"/>
  </w:num>
  <w:num w:numId="66" w16cid:durableId="58209817">
    <w:abstractNumId w:val="29"/>
  </w:num>
  <w:num w:numId="67" w16cid:durableId="370618141">
    <w:abstractNumId w:val="26"/>
  </w:num>
  <w:num w:numId="68" w16cid:durableId="994724002">
    <w:abstractNumId w:val="28"/>
  </w:num>
  <w:num w:numId="69" w16cid:durableId="1055274852">
    <w:abstractNumId w:val="49"/>
  </w:num>
  <w:num w:numId="70" w16cid:durableId="1321542394">
    <w:abstractNumId w:val="27"/>
  </w:num>
  <w:num w:numId="71" w16cid:durableId="671958849">
    <w:abstractNumId w:val="2"/>
  </w:num>
  <w:num w:numId="72" w16cid:durableId="1053654523">
    <w:abstractNumId w:val="51"/>
  </w:num>
  <w:num w:numId="73" w16cid:durableId="2110811187">
    <w:abstractNumId w:val="62"/>
  </w:num>
  <w:num w:numId="74" w16cid:durableId="1415474616">
    <w:abstractNumId w:val="83"/>
  </w:num>
  <w:num w:numId="75" w16cid:durableId="1247959764">
    <w:abstractNumId w:val="88"/>
  </w:num>
  <w:num w:numId="76" w16cid:durableId="478347586">
    <w:abstractNumId w:val="59"/>
  </w:num>
  <w:num w:numId="77" w16cid:durableId="553198547">
    <w:abstractNumId w:val="74"/>
  </w:num>
  <w:num w:numId="78" w16cid:durableId="1346175023">
    <w:abstractNumId w:val="68"/>
  </w:num>
  <w:num w:numId="79" w16cid:durableId="218326687">
    <w:abstractNumId w:val="31"/>
  </w:num>
  <w:num w:numId="80" w16cid:durableId="1490250407">
    <w:abstractNumId w:val="37"/>
  </w:num>
  <w:num w:numId="81" w16cid:durableId="767847936">
    <w:abstractNumId w:val="56"/>
  </w:num>
  <w:num w:numId="82" w16cid:durableId="1836415810">
    <w:abstractNumId w:val="40"/>
  </w:num>
  <w:num w:numId="83" w16cid:durableId="665287330">
    <w:abstractNumId w:val="79"/>
  </w:num>
  <w:num w:numId="84" w16cid:durableId="1610701533">
    <w:abstractNumId w:val="67"/>
  </w:num>
  <w:num w:numId="85" w16cid:durableId="967709065">
    <w:abstractNumId w:val="15"/>
  </w:num>
  <w:num w:numId="86" w16cid:durableId="1921602722">
    <w:abstractNumId w:val="64"/>
  </w:num>
  <w:num w:numId="87" w16cid:durableId="1270815754">
    <w:abstractNumId w:val="24"/>
  </w:num>
  <w:num w:numId="88" w16cid:durableId="1983801231">
    <w:abstractNumId w:val="69"/>
  </w:num>
  <w:num w:numId="89" w16cid:durableId="842623999">
    <w:abstractNumId w:val="13"/>
  </w:num>
  <w:num w:numId="90" w16cid:durableId="1910264092">
    <w:abstractNumId w:val="60"/>
  </w:num>
  <w:num w:numId="91" w16cid:durableId="2096659352">
    <w:abstractNumId w:val="81"/>
  </w:num>
  <w:num w:numId="92" w16cid:durableId="1162044997">
    <w:abstractNumId w:val="1"/>
  </w:num>
  <w:num w:numId="93" w16cid:durableId="916478776">
    <w:abstractNumId w:val="53"/>
  </w:num>
  <w:num w:numId="94" w16cid:durableId="936904776">
    <w:abstractNumId w:val="57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4D"/>
    <w:rsid w:val="00067A3D"/>
    <w:rsid w:val="00090263"/>
    <w:rsid w:val="00097189"/>
    <w:rsid w:val="000B79C9"/>
    <w:rsid w:val="000D426C"/>
    <w:rsid w:val="000D6761"/>
    <w:rsid w:val="000E0601"/>
    <w:rsid w:val="000F0FED"/>
    <w:rsid w:val="000F13D3"/>
    <w:rsid w:val="00103C20"/>
    <w:rsid w:val="00104B20"/>
    <w:rsid w:val="00132B47"/>
    <w:rsid w:val="00165372"/>
    <w:rsid w:val="001934C4"/>
    <w:rsid w:val="001938D9"/>
    <w:rsid w:val="001C16ED"/>
    <w:rsid w:val="002043EE"/>
    <w:rsid w:val="0021204D"/>
    <w:rsid w:val="0022184E"/>
    <w:rsid w:val="00242034"/>
    <w:rsid w:val="0024548D"/>
    <w:rsid w:val="002B0726"/>
    <w:rsid w:val="002F0041"/>
    <w:rsid w:val="002F309B"/>
    <w:rsid w:val="00305C17"/>
    <w:rsid w:val="00306E06"/>
    <w:rsid w:val="0032446D"/>
    <w:rsid w:val="003557C3"/>
    <w:rsid w:val="0036409B"/>
    <w:rsid w:val="003835F8"/>
    <w:rsid w:val="003861C9"/>
    <w:rsid w:val="003955A3"/>
    <w:rsid w:val="003B25AB"/>
    <w:rsid w:val="003D1B46"/>
    <w:rsid w:val="003F0D39"/>
    <w:rsid w:val="003F76FE"/>
    <w:rsid w:val="00404351"/>
    <w:rsid w:val="0046676F"/>
    <w:rsid w:val="004915A2"/>
    <w:rsid w:val="004C4B85"/>
    <w:rsid w:val="005168F2"/>
    <w:rsid w:val="005233A7"/>
    <w:rsid w:val="00524732"/>
    <w:rsid w:val="005903EF"/>
    <w:rsid w:val="005B0BBE"/>
    <w:rsid w:val="005E4D1F"/>
    <w:rsid w:val="005F1599"/>
    <w:rsid w:val="00614067"/>
    <w:rsid w:val="00621FAE"/>
    <w:rsid w:val="00627B51"/>
    <w:rsid w:val="00640874"/>
    <w:rsid w:val="00652D48"/>
    <w:rsid w:val="00681074"/>
    <w:rsid w:val="006C4705"/>
    <w:rsid w:val="00713E0C"/>
    <w:rsid w:val="00717159"/>
    <w:rsid w:val="007418FD"/>
    <w:rsid w:val="00743031"/>
    <w:rsid w:val="00747F81"/>
    <w:rsid w:val="00755613"/>
    <w:rsid w:val="00794102"/>
    <w:rsid w:val="007D0B85"/>
    <w:rsid w:val="007D1368"/>
    <w:rsid w:val="00800CF1"/>
    <w:rsid w:val="00810B4A"/>
    <w:rsid w:val="00812A91"/>
    <w:rsid w:val="0083107B"/>
    <w:rsid w:val="00857571"/>
    <w:rsid w:val="0087592C"/>
    <w:rsid w:val="00920237"/>
    <w:rsid w:val="00935F78"/>
    <w:rsid w:val="009409C4"/>
    <w:rsid w:val="00981AC7"/>
    <w:rsid w:val="00981D61"/>
    <w:rsid w:val="00990EEB"/>
    <w:rsid w:val="00A11363"/>
    <w:rsid w:val="00A22557"/>
    <w:rsid w:val="00A33E34"/>
    <w:rsid w:val="00A91877"/>
    <w:rsid w:val="00A92ABA"/>
    <w:rsid w:val="00AB1399"/>
    <w:rsid w:val="00AC0EA6"/>
    <w:rsid w:val="00AD1277"/>
    <w:rsid w:val="00AF5288"/>
    <w:rsid w:val="00B23B52"/>
    <w:rsid w:val="00B23DA9"/>
    <w:rsid w:val="00B40F8F"/>
    <w:rsid w:val="00B82B56"/>
    <w:rsid w:val="00B946B7"/>
    <w:rsid w:val="00BA5220"/>
    <w:rsid w:val="00BA5E40"/>
    <w:rsid w:val="00BB6080"/>
    <w:rsid w:val="00BC646A"/>
    <w:rsid w:val="00C2051F"/>
    <w:rsid w:val="00C369BB"/>
    <w:rsid w:val="00C44EF3"/>
    <w:rsid w:val="00C64C4B"/>
    <w:rsid w:val="00C75190"/>
    <w:rsid w:val="00C8199F"/>
    <w:rsid w:val="00CC308F"/>
    <w:rsid w:val="00CD257D"/>
    <w:rsid w:val="00D03703"/>
    <w:rsid w:val="00D22FD3"/>
    <w:rsid w:val="00D866A1"/>
    <w:rsid w:val="00DB129C"/>
    <w:rsid w:val="00DD774B"/>
    <w:rsid w:val="00DF1112"/>
    <w:rsid w:val="00E274AC"/>
    <w:rsid w:val="00E370A4"/>
    <w:rsid w:val="00E41BB3"/>
    <w:rsid w:val="00E80212"/>
    <w:rsid w:val="00E87EBB"/>
    <w:rsid w:val="00EC3494"/>
    <w:rsid w:val="00EC46FD"/>
    <w:rsid w:val="00ED6951"/>
    <w:rsid w:val="00F43886"/>
    <w:rsid w:val="00F45A01"/>
    <w:rsid w:val="00F774A6"/>
    <w:rsid w:val="00FB088F"/>
    <w:rsid w:val="00FC276C"/>
    <w:rsid w:val="00FC2EEC"/>
    <w:rsid w:val="00FE0DD3"/>
    <w:rsid w:val="00FE1777"/>
    <w:rsid w:val="00FE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2B49"/>
  <w15:chartTrackingRefBased/>
  <w15:docId w15:val="{A51E7AE1-30BE-421B-B959-402A4E9D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2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2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12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12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0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0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0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0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0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0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0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0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0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0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04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92ABA"/>
    <w:rPr>
      <w:b/>
      <w:bCs/>
    </w:rPr>
  </w:style>
  <w:style w:type="paragraph" w:styleId="NormalWeb">
    <w:name w:val="Normal (Web)"/>
    <w:basedOn w:val="Normal"/>
    <w:uiPriority w:val="99"/>
    <w:unhideWhenUsed/>
    <w:rsid w:val="00A92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747F81"/>
    <w:pPr>
      <w:spacing w:after="0" w:line="240" w:lineRule="auto"/>
    </w:pPr>
    <w:rPr>
      <w:rFonts w:eastAsiaTheme="minorEastAsia"/>
      <w:kern w:val="0"/>
      <w:sz w:val="22"/>
      <w:szCs w:val="22"/>
      <w:lang w:val="bs-Latn-BA" w:eastAsia="bs-Latn-B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semiHidden/>
    <w:rsid w:val="00E274AC"/>
    <w:pPr>
      <w:spacing w:after="0" w:line="240" w:lineRule="auto"/>
    </w:pPr>
    <w:rPr>
      <w:rFonts w:ascii="Aptos" w:hAnsi="Aptos" w:cs="Aptos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C4B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4B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4B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B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B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2\tabela%20GI%20za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3\GRAFIKONI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3\GRAFIKONI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4\Grafikoni%20za%20GI%202024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4\Grafikoni%20za%20GI%202024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4\Grafikoni%20za%20GI%202024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4\Grafikoni%20za%20GI%202024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3\GRAFIKONI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2\tabela%20GI%20za%20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2\tabela%20GI%20za%20202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2\tabela%20GI%20za%20202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2\tabela%20GI%20za%20202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3\GRAFIKONI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3\GRAFIKONI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3\GRAFIKONI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3\GRAFIKONI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'broj prihvatljivih ponuda'!$C$12</c:f>
              <c:strCache>
                <c:ptCount val="1"/>
                <c:pt idx="0">
                  <c:v>Broj primljenih ponuda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'broj prihvatljivih ponuda'!$B$13:$B$18</c:f>
              <c:strCache>
                <c:ptCount val="6"/>
                <c:pt idx="0">
                  <c:v>Otvoreni postupak</c:v>
                </c:pt>
                <c:pt idx="1">
                  <c:v>Ograničeni postupak</c:v>
                </c:pt>
                <c:pt idx="2">
                  <c:v>Pregovarački postupak sa objavom</c:v>
                </c:pt>
                <c:pt idx="3">
                  <c:v>Pregovarački postupak bez objave</c:v>
                </c:pt>
                <c:pt idx="4">
                  <c:v>Konkurentski zahtjev</c:v>
                </c:pt>
                <c:pt idx="5">
                  <c:v>Ukupno</c:v>
                </c:pt>
              </c:strCache>
            </c:strRef>
          </c:cat>
          <c:val>
            <c:numRef>
              <c:f>'broj prihvatljivih ponuda'!$C$13:$C$18</c:f>
              <c:numCache>
                <c:formatCode>General</c:formatCode>
                <c:ptCount val="6"/>
                <c:pt idx="0">
                  <c:v>2.23</c:v>
                </c:pt>
                <c:pt idx="1">
                  <c:v>1.93</c:v>
                </c:pt>
                <c:pt idx="2">
                  <c:v>1.37</c:v>
                </c:pt>
                <c:pt idx="3">
                  <c:v>1.08</c:v>
                </c:pt>
                <c:pt idx="4">
                  <c:v>1.99</c:v>
                </c:pt>
                <c:pt idx="5">
                  <c:v>2.14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F8-471F-8AD6-B93CE20DC564}"/>
            </c:ext>
          </c:extLst>
        </c:ser>
        <c:ser>
          <c:idx val="1"/>
          <c:order val="1"/>
          <c:tx>
            <c:strRef>
              <c:f>'broj prihvatljivih ponuda'!$D$12</c:f>
              <c:strCache>
                <c:ptCount val="1"/>
                <c:pt idx="0">
                  <c:v>Broj prihvatljivih ponuda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'broj prihvatljivih ponuda'!$B$13:$B$18</c:f>
              <c:strCache>
                <c:ptCount val="6"/>
                <c:pt idx="0">
                  <c:v>Otvoreni postupak</c:v>
                </c:pt>
                <c:pt idx="1">
                  <c:v>Ograničeni postupak</c:v>
                </c:pt>
                <c:pt idx="2">
                  <c:v>Pregovarački postupak sa objavom</c:v>
                </c:pt>
                <c:pt idx="3">
                  <c:v>Pregovarački postupak bez objave</c:v>
                </c:pt>
                <c:pt idx="4">
                  <c:v>Konkurentski zahtjev</c:v>
                </c:pt>
                <c:pt idx="5">
                  <c:v>Ukupno</c:v>
                </c:pt>
              </c:strCache>
            </c:strRef>
          </c:cat>
          <c:val>
            <c:numRef>
              <c:f>'broj prihvatljivih ponuda'!$D$13:$D$18</c:f>
              <c:numCache>
                <c:formatCode>General</c:formatCode>
                <c:ptCount val="6"/>
                <c:pt idx="0">
                  <c:v>2</c:v>
                </c:pt>
                <c:pt idx="1">
                  <c:v>1.82</c:v>
                </c:pt>
                <c:pt idx="2">
                  <c:v>1.34</c:v>
                </c:pt>
                <c:pt idx="3">
                  <c:v>1.04</c:v>
                </c:pt>
                <c:pt idx="4">
                  <c:v>1.82</c:v>
                </c:pt>
                <c:pt idx="5">
                  <c:v>1.93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7F8-471F-8AD6-B93CE20DC5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52662824"/>
        <c:axId val="552661512"/>
      </c:barChart>
      <c:catAx>
        <c:axId val="552662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2661512"/>
        <c:crosses val="autoZero"/>
        <c:auto val="1"/>
        <c:lblAlgn val="ctr"/>
        <c:lblOffset val="100"/>
        <c:noMultiLvlLbl val="0"/>
      </c:catAx>
      <c:valAx>
        <c:axId val="55266151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52662824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43344513688278"/>
          <c:y val="0.90279885309826158"/>
          <c:w val="0.51848450696152004"/>
          <c:h val="7.49838618539712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PBO!$B$47</c:f>
              <c:strCache>
                <c:ptCount val="1"/>
                <c:pt idx="0">
                  <c:v>Robe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PBO!$C$46:$G$46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PBO!$C$47:$G$47</c:f>
              <c:numCache>
                <c:formatCode>#,##0.00</c:formatCode>
                <c:ptCount val="5"/>
                <c:pt idx="0">
                  <c:v>383427.39</c:v>
                </c:pt>
                <c:pt idx="1">
                  <c:v>93788801.510000005</c:v>
                </c:pt>
                <c:pt idx="2">
                  <c:v>25584907.32</c:v>
                </c:pt>
                <c:pt idx="3">
                  <c:v>27100</c:v>
                </c:pt>
                <c:pt idx="4">
                  <c:v>119784236.22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82-4A65-B79A-1D798FC758FA}"/>
            </c:ext>
          </c:extLst>
        </c:ser>
        <c:ser>
          <c:idx val="1"/>
          <c:order val="1"/>
          <c:tx>
            <c:strRef>
              <c:f>PBO!$B$48</c:f>
              <c:strCache>
                <c:ptCount val="1"/>
                <c:pt idx="0">
                  <c:v>Usluge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PBO!$C$46:$G$46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PBO!$C$48:$G$48</c:f>
              <c:numCache>
                <c:formatCode>#,##0.00</c:formatCode>
                <c:ptCount val="5"/>
                <c:pt idx="0">
                  <c:v>4690459.5</c:v>
                </c:pt>
                <c:pt idx="1">
                  <c:v>44496973.960000001</c:v>
                </c:pt>
                <c:pt idx="2">
                  <c:v>29001665.710000001</c:v>
                </c:pt>
                <c:pt idx="3">
                  <c:v>410426.9</c:v>
                </c:pt>
                <c:pt idx="4">
                  <c:v>78599526.069999993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F82-4A65-B79A-1D798FC758FA}"/>
            </c:ext>
          </c:extLst>
        </c:ser>
        <c:ser>
          <c:idx val="2"/>
          <c:order val="2"/>
          <c:tx>
            <c:strRef>
              <c:f>PBO!$B$49</c:f>
              <c:strCache>
                <c:ptCount val="1"/>
                <c:pt idx="0">
                  <c:v>Radovi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PBO!$C$46:$G$46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PBO!$C$49:$G$49</c:f>
              <c:numCache>
                <c:formatCode>#,##0.00</c:formatCode>
                <c:ptCount val="5"/>
                <c:pt idx="0">
                  <c:v>1344142.05</c:v>
                </c:pt>
                <c:pt idx="1">
                  <c:v>16998616.010000002</c:v>
                </c:pt>
                <c:pt idx="2">
                  <c:v>89447037.010000005</c:v>
                </c:pt>
                <c:pt idx="3">
                  <c:v>266839.76</c:v>
                </c:pt>
                <c:pt idx="4">
                  <c:v>108056634.83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F82-4A65-B79A-1D798FC758FA}"/>
            </c:ext>
          </c:extLst>
        </c:ser>
        <c:ser>
          <c:idx val="3"/>
          <c:order val="3"/>
          <c:tx>
            <c:strRef>
              <c:f>PBO!$B$50</c:f>
              <c:strCache>
                <c:ptCount val="1"/>
                <c:pt idx="0">
                  <c:v>Ukupno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PBO!$C$46:$G$46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PBO!$C$50:$G$50</c:f>
              <c:numCache>
                <c:formatCode>#,##0.00</c:formatCode>
                <c:ptCount val="5"/>
                <c:pt idx="0">
                  <c:v>6418028.9400000004</c:v>
                </c:pt>
                <c:pt idx="1">
                  <c:v>155284391.47999999</c:v>
                </c:pt>
                <c:pt idx="2">
                  <c:v>144033610.03999999</c:v>
                </c:pt>
                <c:pt idx="3">
                  <c:v>704366.66</c:v>
                </c:pt>
                <c:pt idx="4">
                  <c:v>306440397.12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F82-4A65-B79A-1D798FC758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74094144"/>
        <c:axId val="1596400719"/>
      </c:barChart>
      <c:catAx>
        <c:axId val="14740941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96400719"/>
        <c:crosses val="autoZero"/>
        <c:auto val="1"/>
        <c:lblAlgn val="ctr"/>
        <c:lblOffset val="100"/>
        <c:noMultiLvlLbl val="0"/>
      </c:catAx>
      <c:valAx>
        <c:axId val="1596400719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147409414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PBO!$B$65</c:f>
              <c:strCache>
                <c:ptCount val="1"/>
                <c:pt idx="0">
                  <c:v>Robe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PBO!$C$64:$G$64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PBO!$C$65:$G$65</c:f>
              <c:numCache>
                <c:formatCode>General</c:formatCode>
                <c:ptCount val="5"/>
                <c:pt idx="0">
                  <c:v>269</c:v>
                </c:pt>
                <c:pt idx="1">
                  <c:v>85</c:v>
                </c:pt>
                <c:pt idx="2">
                  <c:v>62</c:v>
                </c:pt>
                <c:pt idx="3">
                  <c:v>2</c:v>
                </c:pt>
                <c:pt idx="4">
                  <c:v>418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F3-42C1-B996-F1774FCAA653}"/>
            </c:ext>
          </c:extLst>
        </c:ser>
        <c:ser>
          <c:idx val="1"/>
          <c:order val="1"/>
          <c:tx>
            <c:strRef>
              <c:f>PBO!$B$66</c:f>
              <c:strCache>
                <c:ptCount val="1"/>
                <c:pt idx="0">
                  <c:v>Usluge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PBO!$C$64:$G$64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PBO!$C$66:$G$66</c:f>
              <c:numCache>
                <c:formatCode>General</c:formatCode>
                <c:ptCount val="5"/>
                <c:pt idx="0">
                  <c:v>105</c:v>
                </c:pt>
                <c:pt idx="1">
                  <c:v>210</c:v>
                </c:pt>
                <c:pt idx="2">
                  <c:v>169</c:v>
                </c:pt>
                <c:pt idx="3">
                  <c:v>14</c:v>
                </c:pt>
                <c:pt idx="4">
                  <c:v>498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F3-42C1-B996-F1774FCAA653}"/>
            </c:ext>
          </c:extLst>
        </c:ser>
        <c:ser>
          <c:idx val="2"/>
          <c:order val="2"/>
          <c:tx>
            <c:strRef>
              <c:f>PBO!$B$67</c:f>
              <c:strCache>
                <c:ptCount val="1"/>
                <c:pt idx="0">
                  <c:v>Radovi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PBO!$C$64:$G$64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PBO!$C$67:$G$67</c:f>
              <c:numCache>
                <c:formatCode>General</c:formatCode>
                <c:ptCount val="5"/>
                <c:pt idx="0">
                  <c:v>17</c:v>
                </c:pt>
                <c:pt idx="1">
                  <c:v>123</c:v>
                </c:pt>
                <c:pt idx="2">
                  <c:v>144</c:v>
                </c:pt>
                <c:pt idx="3">
                  <c:v>4</c:v>
                </c:pt>
                <c:pt idx="4">
                  <c:v>288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7F3-42C1-B996-F1774FCAA653}"/>
            </c:ext>
          </c:extLst>
        </c:ser>
        <c:ser>
          <c:idx val="3"/>
          <c:order val="3"/>
          <c:tx>
            <c:strRef>
              <c:f>PBO!$B$68</c:f>
              <c:strCache>
                <c:ptCount val="1"/>
                <c:pt idx="0">
                  <c:v>Ukupno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PBO!$C$64:$G$64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PBO!$C$68:$G$68</c:f>
              <c:numCache>
                <c:formatCode>General</c:formatCode>
                <c:ptCount val="5"/>
                <c:pt idx="0">
                  <c:v>391</c:v>
                </c:pt>
                <c:pt idx="1">
                  <c:v>418</c:v>
                </c:pt>
                <c:pt idx="2">
                  <c:v>375</c:v>
                </c:pt>
                <c:pt idx="3">
                  <c:v>20</c:v>
                </c:pt>
                <c:pt idx="4">
                  <c:v>1204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7F3-42C1-B996-F1774FCAA6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61520367"/>
        <c:axId val="1580508319"/>
      </c:barChart>
      <c:catAx>
        <c:axId val="156152036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80508319"/>
        <c:crosses val="autoZero"/>
        <c:auto val="1"/>
        <c:lblAlgn val="ctr"/>
        <c:lblOffset val="100"/>
        <c:noMultiLvlLbl val="0"/>
      </c:catAx>
      <c:valAx>
        <c:axId val="1580508319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1561520367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'bROJ PRIMLJENIH'!$C$5</c:f>
              <c:strCache>
                <c:ptCount val="1"/>
                <c:pt idx="0">
                  <c:v>Broj primljenih ponuda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'bROJ PRIMLJENIH'!$D$4:$I$4</c:f>
              <c:strCache>
                <c:ptCount val="6"/>
                <c:pt idx="0">
                  <c:v>Otvoreni postupak</c:v>
                </c:pt>
                <c:pt idx="1">
                  <c:v>Ograničeni postupak</c:v>
                </c:pt>
                <c:pt idx="2">
                  <c:v>Pregovarački postupak bez objave obavještenja</c:v>
                </c:pt>
                <c:pt idx="3">
                  <c:v>Pregovarački postupak sa objavom obavještenja</c:v>
                </c:pt>
                <c:pt idx="4">
                  <c:v>Konkurentski zahtjev za dostavu ponuda</c:v>
                </c:pt>
                <c:pt idx="5">
                  <c:v>Ukupno</c:v>
                </c:pt>
              </c:strCache>
            </c:strRef>
          </c:cat>
          <c:val>
            <c:numRef>
              <c:f>'bROJ PRIMLJENIH'!$D$5:$I$5</c:f>
              <c:numCache>
                <c:formatCode>General</c:formatCode>
                <c:ptCount val="6"/>
                <c:pt idx="0" formatCode="#,##0.00">
                  <c:v>1.97</c:v>
                </c:pt>
                <c:pt idx="1">
                  <c:v>1.92</c:v>
                </c:pt>
                <c:pt idx="2">
                  <c:v>1.22</c:v>
                </c:pt>
                <c:pt idx="3">
                  <c:v>1.71</c:v>
                </c:pt>
                <c:pt idx="4">
                  <c:v>1.98</c:v>
                </c:pt>
                <c:pt idx="5" formatCode="#,##0.00">
                  <c:v>1.75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4A-4178-8EAD-22AACD112E21}"/>
            </c:ext>
          </c:extLst>
        </c:ser>
        <c:ser>
          <c:idx val="1"/>
          <c:order val="1"/>
          <c:tx>
            <c:strRef>
              <c:f>'bROJ PRIMLJENIH'!$C$6</c:f>
              <c:strCache>
                <c:ptCount val="1"/>
                <c:pt idx="0">
                  <c:v>Broj prihvatljivih ponuda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'bROJ PRIMLJENIH'!$D$4:$I$4</c:f>
              <c:strCache>
                <c:ptCount val="6"/>
                <c:pt idx="0">
                  <c:v>Otvoreni postupak</c:v>
                </c:pt>
                <c:pt idx="1">
                  <c:v>Ograničeni postupak</c:v>
                </c:pt>
                <c:pt idx="2">
                  <c:v>Pregovarački postupak bez objave obavještenja</c:v>
                </c:pt>
                <c:pt idx="3">
                  <c:v>Pregovarački postupak sa objavom obavještenja</c:v>
                </c:pt>
                <c:pt idx="4">
                  <c:v>Konkurentski zahtjev za dostavu ponuda</c:v>
                </c:pt>
                <c:pt idx="5">
                  <c:v>Ukupno</c:v>
                </c:pt>
              </c:strCache>
            </c:strRef>
          </c:cat>
          <c:val>
            <c:numRef>
              <c:f>'bROJ PRIMLJENIH'!$D$6:$I$6</c:f>
              <c:numCache>
                <c:formatCode>General</c:formatCode>
                <c:ptCount val="6"/>
                <c:pt idx="0" formatCode="#,##0.00">
                  <c:v>1.75</c:v>
                </c:pt>
                <c:pt idx="1">
                  <c:v>1.75</c:v>
                </c:pt>
                <c:pt idx="2">
                  <c:v>1.08</c:v>
                </c:pt>
                <c:pt idx="3">
                  <c:v>1.7</c:v>
                </c:pt>
                <c:pt idx="4">
                  <c:v>1.79</c:v>
                </c:pt>
                <c:pt idx="5">
                  <c:v>1.61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54A-4178-8EAD-22AACD112E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10758527"/>
        <c:axId val="1410749887"/>
      </c:barChart>
      <c:catAx>
        <c:axId val="14107585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410749887"/>
        <c:crosses val="autoZero"/>
        <c:auto val="1"/>
        <c:lblAlgn val="ctr"/>
        <c:lblOffset val="100"/>
        <c:noMultiLvlLbl val="0"/>
      </c:catAx>
      <c:valAx>
        <c:axId val="1410749887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crossAx val="1410758527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1DC-4DD3-A87F-3AB140C3467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1DC-4DD3-A87F-3AB140C3467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1DC-4DD3-A87F-3AB140C34673}"/>
              </c:ext>
            </c:extLst>
          </c:dPt>
          <c:dLbls>
            <c:dLbl>
              <c:idx val="0"/>
              <c:layout>
                <c:manualLayout>
                  <c:x val="4.4608923884514332E-2"/>
                  <c:y val="-0.19102398658501021"/>
                </c:manualLayout>
              </c:layout>
              <c:tx>
                <c:rich>
                  <a:bodyPr/>
                  <a:lstStyle/>
                  <a:p>
                    <a:fld id="{1C78395E-FC1F-46E7-B70F-EDE704789F7D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; </a:t>
                    </a:r>
                    <a:fld id="{FE732904-516E-4D9B-A44D-713EAD54FB3B}" type="VALUE">
                      <a:rPr lang="en-US" baseline="0"/>
                      <a:pPr/>
                      <a:t>[VALUE]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1DC-4DD3-A87F-3AB140C34673}"/>
                </c:ext>
              </c:extLst>
            </c:dLbl>
            <c:dLbl>
              <c:idx val="1"/>
              <c:layout>
                <c:manualLayout>
                  <c:x val="-6.4158355205599329E-2"/>
                  <c:y val="-1.3054461942257218E-2"/>
                </c:manualLayout>
              </c:layout>
              <c:tx>
                <c:rich>
                  <a:bodyPr/>
                  <a:lstStyle/>
                  <a:p>
                    <a:fld id="{EC7362E1-6139-49F8-B949-9860C987EF64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; </a:t>
                    </a:r>
                    <a:fld id="{22337C21-ABDB-482A-A370-76F095965562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1DC-4DD3-A87F-3AB140C34673}"/>
                </c:ext>
              </c:extLst>
            </c:dLbl>
            <c:dLbl>
              <c:idx val="2"/>
              <c:layout>
                <c:manualLayout>
                  <c:x val="0.28789020122484688"/>
                  <c:y val="3.0158938466025069E-2"/>
                </c:manualLayout>
              </c:layout>
              <c:tx>
                <c:rich>
                  <a:bodyPr/>
                  <a:lstStyle/>
                  <a:p>
                    <a:fld id="{B18851E5-9453-4705-8D13-0E998BC563C3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; </a:t>
                    </a:r>
                    <a:fld id="{4E9955A1-DD1B-45B7-A430-4363E50644DA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E1DC-4DD3-A87F-3AB140C3467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'UKUPNO SVE'!$C$26:$E$26</c:f>
              <c:strCache>
                <c:ptCount val="3"/>
                <c:pt idx="0">
                  <c:v>Poglavlje I</c:v>
                </c:pt>
                <c:pt idx="1">
                  <c:v>Poglavlje V</c:v>
                </c:pt>
                <c:pt idx="2">
                  <c:v>Aneks II</c:v>
                </c:pt>
              </c:strCache>
            </c:strRef>
          </c:cat>
          <c:val>
            <c:numRef>
              <c:f>'UKUPNO SVE'!$C$27:$E$27</c:f>
              <c:numCache>
                <c:formatCode>#,##0.00</c:formatCode>
                <c:ptCount val="3"/>
                <c:pt idx="0">
                  <c:v>4189815561.2600002</c:v>
                </c:pt>
                <c:pt idx="1">
                  <c:v>355878648.83999997</c:v>
                </c:pt>
                <c:pt idx="2">
                  <c:v>563048155.52999997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1DC-4DD3-A87F-3AB140C34673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220-4F96-A81D-2C4DEC52B10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220-4F96-A81D-2C4DEC52B10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220-4F96-A81D-2C4DEC52B100}"/>
              </c:ext>
            </c:extLst>
          </c:dPt>
          <c:dLbls>
            <c:dLbl>
              <c:idx val="0"/>
              <c:layout>
                <c:manualLayout>
                  <c:x val="5.5555555555555455E-2"/>
                  <c:y val="-7.7892325315005728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CC0B3A8F-D9BC-40B2-9D36-3274C4DE5ED7}" type="CATEGORYNAME">
                      <a:rPr lang="en-US" sz="8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80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[CATEGORY NAME]</a:t>
                    </a:fld>
                    <a:r>
                      <a:rPr lang="en-US" sz="8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; </a:t>
                    </a:r>
                    <a:fld id="{AE9C773F-9FA4-440C-AFAD-4B37C50A5DEC}" type="VALUE">
                      <a:rPr lang="en-US" sz="8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80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[VALUE]</a:t>
                    </a:fld>
                    <a:r>
                      <a:rPr lang="en-US" sz="8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; 26.76%</a:t>
                    </a:r>
                  </a:p>
                </c:rich>
              </c:tx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sr-Latn-R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128602"/>
                        <a:gd name="adj2" fmla="val 118392"/>
                      </a:avLst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8220-4F96-A81D-2C4DEC52B10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74FAFFF3-DE92-4528-8443-B6ABB5F64EB5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; </a:t>
                    </a:r>
                    <a:fld id="{21203D3D-B45D-4489-966F-1EA88F8B66AB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; 63.51%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8220-4F96-A81D-2C4DEC52B100}"/>
                </c:ext>
              </c:extLst>
            </c:dLbl>
            <c:dLbl>
              <c:idx val="2"/>
              <c:layout>
                <c:manualLayout>
                  <c:x val="-0.16944444444444445"/>
                  <c:y val="3.2073310423825892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0428D173-5839-4A46-99B6-10DCAE23B94E}" type="CATEGORYNAME">
                      <a:rPr lang="en-US" sz="8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80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[CATEGORY NAME]</a:t>
                    </a:fld>
                    <a:r>
                      <a:rPr lang="en-US" sz="8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; </a:t>
                    </a:r>
                    <a:fld id="{08E4B273-E5CF-448A-A266-BBB961565DBE}" type="VALUE">
                      <a:rPr lang="en-US" sz="8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80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[VALUE]</a:t>
                    </a:fld>
                    <a:r>
                      <a:rPr lang="en-US" sz="8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; 9.73%</a:t>
                    </a:r>
                  </a:p>
                </c:rich>
              </c:tx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sr-Latn-R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170247"/>
                        <a:gd name="adj2" fmla="val 74495"/>
                      </a:avLst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8220-4F96-A81D-2C4DEC52B100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'UKUPNO SVE'!$C$41:$E$41</c:f>
              <c:strCache>
                <c:ptCount val="3"/>
                <c:pt idx="0">
                  <c:v>Poglavlje I</c:v>
                </c:pt>
                <c:pt idx="1">
                  <c:v>Poglavlje V</c:v>
                </c:pt>
                <c:pt idx="2">
                  <c:v>Aneks II</c:v>
                </c:pt>
              </c:strCache>
            </c:strRef>
          </c:cat>
          <c:val>
            <c:numRef>
              <c:f>'UKUPNO SVE'!$C$42:$E$42</c:f>
              <c:numCache>
                <c:formatCode>#,##0</c:formatCode>
                <c:ptCount val="3"/>
                <c:pt idx="0">
                  <c:v>73126</c:v>
                </c:pt>
                <c:pt idx="1">
                  <c:v>173583</c:v>
                </c:pt>
                <c:pt idx="2">
                  <c:v>26585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220-4F96-A81D-2C4DEC52B1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PBO!$B$52</c:f>
              <c:strCache>
                <c:ptCount val="1"/>
                <c:pt idx="0">
                  <c:v>Robe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PBO!$C$51:$G$51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PBO!$C$52:$G$52</c:f>
              <c:numCache>
                <c:formatCode>#,##0.00</c:formatCode>
                <c:ptCount val="5"/>
                <c:pt idx="0">
                  <c:v>1245551.33</c:v>
                </c:pt>
                <c:pt idx="1">
                  <c:v>119065695.34999999</c:v>
                </c:pt>
                <c:pt idx="2">
                  <c:v>24273775.59</c:v>
                </c:pt>
                <c:pt idx="3" formatCode="General">
                  <c:v>0</c:v>
                </c:pt>
                <c:pt idx="4">
                  <c:v>144585022.26999998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AE-4560-9C5B-CEC86AB74D71}"/>
            </c:ext>
          </c:extLst>
        </c:ser>
        <c:ser>
          <c:idx val="1"/>
          <c:order val="1"/>
          <c:tx>
            <c:strRef>
              <c:f>PBO!$B$53</c:f>
              <c:strCache>
                <c:ptCount val="1"/>
                <c:pt idx="0">
                  <c:v>Usluge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PBO!$C$51:$G$51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PBO!$C$53:$G$53</c:f>
              <c:numCache>
                <c:formatCode>#,##0.00</c:formatCode>
                <c:ptCount val="5"/>
                <c:pt idx="0">
                  <c:v>9984283.4800000004</c:v>
                </c:pt>
                <c:pt idx="1">
                  <c:v>50914521.57</c:v>
                </c:pt>
                <c:pt idx="2">
                  <c:v>25382643.609999999</c:v>
                </c:pt>
                <c:pt idx="3">
                  <c:v>324752.5</c:v>
                </c:pt>
                <c:pt idx="4">
                  <c:v>86606201.159999996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AE-4560-9C5B-CEC86AB74D71}"/>
            </c:ext>
          </c:extLst>
        </c:ser>
        <c:ser>
          <c:idx val="2"/>
          <c:order val="2"/>
          <c:tx>
            <c:strRef>
              <c:f>PBO!$B$54</c:f>
              <c:strCache>
                <c:ptCount val="1"/>
                <c:pt idx="0">
                  <c:v>Radovi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PBO!$C$51:$G$51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PBO!$C$54:$G$54</c:f>
              <c:numCache>
                <c:formatCode>#,##0.00</c:formatCode>
                <c:ptCount val="5"/>
                <c:pt idx="0">
                  <c:v>584745.19999999995</c:v>
                </c:pt>
                <c:pt idx="1">
                  <c:v>11558192.189999999</c:v>
                </c:pt>
                <c:pt idx="2">
                  <c:v>17667524.420000002</c:v>
                </c:pt>
                <c:pt idx="3">
                  <c:v>112430.88</c:v>
                </c:pt>
                <c:pt idx="4">
                  <c:v>29922892.690000001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DAE-4560-9C5B-CEC86AB74D71}"/>
            </c:ext>
          </c:extLst>
        </c:ser>
        <c:ser>
          <c:idx val="3"/>
          <c:order val="3"/>
          <c:tx>
            <c:strRef>
              <c:f>PBO!$B$55</c:f>
              <c:strCache>
                <c:ptCount val="1"/>
                <c:pt idx="0">
                  <c:v>Ukupno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PBO!$C$51:$G$51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PBO!$C$55:$G$55</c:f>
              <c:numCache>
                <c:formatCode>#,##0.00</c:formatCode>
                <c:ptCount val="5"/>
                <c:pt idx="0">
                  <c:v>11814580.01</c:v>
                </c:pt>
                <c:pt idx="1">
                  <c:v>181538409.10999998</c:v>
                </c:pt>
                <c:pt idx="2">
                  <c:v>67323943.620000005</c:v>
                </c:pt>
                <c:pt idx="3">
                  <c:v>437183.38</c:v>
                </c:pt>
                <c:pt idx="4">
                  <c:v>261114116.11999997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DAE-4560-9C5B-CEC86AB74D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63227600"/>
        <c:axId val="1563207440"/>
      </c:barChart>
      <c:catAx>
        <c:axId val="15632276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563207440"/>
        <c:crosses val="autoZero"/>
        <c:auto val="1"/>
        <c:lblAlgn val="ctr"/>
        <c:lblOffset val="100"/>
        <c:noMultiLvlLbl val="0"/>
      </c:catAx>
      <c:valAx>
        <c:axId val="1563207440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156322760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PBO!$E$83</c:f>
              <c:strCache>
                <c:ptCount val="1"/>
                <c:pt idx="0">
                  <c:v>Robe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PBO!$F$82:$J$82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PBO!$F$83:$J$83</c:f>
              <c:numCache>
                <c:formatCode>General</c:formatCode>
                <c:ptCount val="5"/>
                <c:pt idx="0">
                  <c:v>725</c:v>
                </c:pt>
                <c:pt idx="1">
                  <c:v>93</c:v>
                </c:pt>
                <c:pt idx="2">
                  <c:v>83</c:v>
                </c:pt>
                <c:pt idx="3">
                  <c:v>0</c:v>
                </c:pt>
                <c:pt idx="4">
                  <c:v>901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84-45E4-A27C-E90B2C1F6724}"/>
            </c:ext>
          </c:extLst>
        </c:ser>
        <c:ser>
          <c:idx val="1"/>
          <c:order val="1"/>
          <c:tx>
            <c:strRef>
              <c:f>PBO!$E$84</c:f>
              <c:strCache>
                <c:ptCount val="1"/>
                <c:pt idx="0">
                  <c:v>Usluge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PBO!$F$82:$J$82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PBO!$F$84:$J$84</c:f>
              <c:numCache>
                <c:formatCode>General</c:formatCode>
                <c:ptCount val="5"/>
                <c:pt idx="0">
                  <c:v>223</c:v>
                </c:pt>
                <c:pt idx="1">
                  <c:v>260</c:v>
                </c:pt>
                <c:pt idx="2">
                  <c:v>166</c:v>
                </c:pt>
                <c:pt idx="3">
                  <c:v>9</c:v>
                </c:pt>
                <c:pt idx="4">
                  <c:v>658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84-45E4-A27C-E90B2C1F6724}"/>
            </c:ext>
          </c:extLst>
        </c:ser>
        <c:ser>
          <c:idx val="2"/>
          <c:order val="2"/>
          <c:tx>
            <c:strRef>
              <c:f>PBO!$E$85</c:f>
              <c:strCache>
                <c:ptCount val="1"/>
                <c:pt idx="0">
                  <c:v>Radovi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PBO!$F$82:$J$82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PBO!$F$85:$J$85</c:f>
              <c:numCache>
                <c:formatCode>General</c:formatCode>
                <c:ptCount val="5"/>
                <c:pt idx="0">
                  <c:v>21</c:v>
                </c:pt>
                <c:pt idx="1">
                  <c:v>161</c:v>
                </c:pt>
                <c:pt idx="2">
                  <c:v>106</c:v>
                </c:pt>
                <c:pt idx="3">
                  <c:v>3</c:v>
                </c:pt>
                <c:pt idx="4">
                  <c:v>291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084-45E4-A27C-E90B2C1F6724}"/>
            </c:ext>
          </c:extLst>
        </c:ser>
        <c:ser>
          <c:idx val="3"/>
          <c:order val="3"/>
          <c:tx>
            <c:strRef>
              <c:f>PBO!$E$86</c:f>
              <c:strCache>
                <c:ptCount val="1"/>
                <c:pt idx="0">
                  <c:v>Ukupno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PBO!$F$82:$J$82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PBO!$F$86:$J$86</c:f>
              <c:numCache>
                <c:formatCode>General</c:formatCode>
                <c:ptCount val="5"/>
                <c:pt idx="0">
                  <c:v>969</c:v>
                </c:pt>
                <c:pt idx="1">
                  <c:v>514</c:v>
                </c:pt>
                <c:pt idx="2">
                  <c:v>355</c:v>
                </c:pt>
                <c:pt idx="3">
                  <c:v>12</c:v>
                </c:pt>
                <c:pt idx="4" formatCode="#,##0">
                  <c:v>1850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084-45E4-A27C-E90B2C1F67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18603680"/>
        <c:axId val="1418598880"/>
      </c:barChart>
      <c:catAx>
        <c:axId val="14186036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  <c:crossAx val="1418598880"/>
        <c:crosses val="autoZero"/>
        <c:auto val="1"/>
        <c:lblAlgn val="ctr"/>
        <c:lblOffset val="100"/>
        <c:noMultiLvlLbl val="0"/>
      </c:catAx>
      <c:valAx>
        <c:axId val="1418598880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1418603680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latin typeface="Times New Roman" panose="02020603050405020304" pitchFamily="18" charset="0"/>
          <a:cs typeface="Times New Roman" panose="02020603050405020304" pitchFamily="18" charset="0"/>
        </a:defRPr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1F5-4F39-A558-32F0B18BECA3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1F5-4F39-A558-32F0B18BECA3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1F5-4F39-A558-32F0B18BECA3}"/>
              </c:ext>
            </c:extLst>
          </c:dPt>
          <c:dLbls>
            <c:dLbl>
              <c:idx val="0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912A4A57-F450-4E13-89FD-9974F88A0EE0}" type="CATEGORYNAME">
                      <a:rPr lang="en-US" sz="900"/>
                      <a:pPr>
                        <a:defRPr sz="900"/>
                      </a:pPr>
                      <a:t>[CATEGORY NAME]</a:t>
                    </a:fld>
                    <a:r>
                      <a:rPr lang="en-US" sz="900" baseline="0"/>
                      <a:t>, </a:t>
                    </a:r>
                    <a:fld id="{BD023906-7431-432D-BF00-51F0E1BCB15C}" type="VALUE">
                      <a:rPr lang="en-US" sz="900" baseline="0"/>
                      <a:pPr>
                        <a:defRPr sz="900"/>
                      </a:pPr>
                      <a:t>[VALUE]</a:t>
                    </a:fld>
                    <a:r>
                      <a:rPr lang="en-US" sz="900" baseline="0"/>
                      <a:t> 83,93%</a:t>
                    </a:r>
                  </a:p>
                </c:rich>
              </c:tx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5B9BD5"/>
                  </a:solidFill>
                  <a:round/>
                </a:ln>
                <a:effectLst>
                  <a:outerShdw blurRad="50800" dist="38100" dir="2700000" algn="tl" rotWithShape="0">
                    <a:srgbClr val="5B9BD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1F5-4F39-A558-32F0B18BECA3}"/>
                </c:ext>
              </c:extLst>
            </c:dLbl>
            <c:dLbl>
              <c:idx val="1"/>
              <c:layout>
                <c:manualLayout>
                  <c:x val="-7.7777777777777779E-2"/>
                  <c:y val="0.30092592592592587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E02C48FA-E4D5-4DDB-911F-8792E64786BE}" type="CATEGORYNAME">
                      <a:rPr lang="en-US" sz="900"/>
                      <a:pPr>
                        <a:defRPr sz="900"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 sz="900" baseline="0"/>
                      <a:t>, </a:t>
                    </a:r>
                    <a:fld id="{8E4F0ACF-4427-4683-9E1B-CE0782E3CEE2}" type="VALUE">
                      <a:rPr lang="en-US" sz="900" baseline="0"/>
                      <a:pPr>
                        <a:defRPr sz="900">
                          <a:solidFill>
                            <a:schemeClr val="accent1"/>
                          </a:solidFill>
                        </a:defRPr>
                      </a:pPr>
                      <a:t>[VALUE]</a:t>
                    </a:fld>
                    <a:r>
                      <a:rPr lang="en-US" sz="900" baseline="0"/>
                      <a:t>, 7,74%</a:t>
                    </a:r>
                  </a:p>
                </c:rich>
              </c:tx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5B9BD5"/>
                  </a:solidFill>
                  <a:round/>
                </a:ln>
                <a:effectLst>
                  <a:outerShdw blurRad="50800" dist="38100" dir="2700000" algn="tl" rotWithShape="0">
                    <a:srgbClr val="5B9BD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1F5-4F39-A558-32F0B18BECA3}"/>
                </c:ext>
              </c:extLst>
            </c:dLbl>
            <c:dLbl>
              <c:idx val="2"/>
              <c:layout>
                <c:manualLayout>
                  <c:x val="0.42222222222222211"/>
                  <c:y val="0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DE134CEF-023A-4123-A158-35A9F5517796}" type="CATEGORYNAME">
                      <a:rPr lang="en-US" sz="900"/>
                      <a:pPr>
                        <a:defRPr sz="900"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 sz="900" baseline="0"/>
                      <a:t>, </a:t>
                    </a:r>
                    <a:fld id="{71213517-AFEB-4762-AC33-D84D93B0082A}" type="VALUE">
                      <a:rPr lang="en-US" sz="900" baseline="0"/>
                      <a:pPr>
                        <a:defRPr sz="900">
                          <a:solidFill>
                            <a:schemeClr val="accent1"/>
                          </a:solidFill>
                        </a:defRPr>
                      </a:pPr>
                      <a:t>[VALUE]</a:t>
                    </a:fld>
                    <a:r>
                      <a:rPr lang="en-US" sz="900" baseline="0"/>
                      <a:t>, 8,33%</a:t>
                    </a:r>
                  </a:p>
                </c:rich>
              </c:tx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5B9BD5"/>
                  </a:solidFill>
                  <a:round/>
                </a:ln>
                <a:effectLst>
                  <a:outerShdw blurRad="50800" dist="38100" dir="2700000" algn="tl" rotWithShape="0">
                    <a:srgbClr val="5B9BD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01F5-4F39-A558-32F0B18BECA3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5B9BD5"/>
                </a:solidFill>
                <a:round/>
              </a:ln>
              <a:effectLst>
                <a:outerShdw blurRad="50800" dist="38100" dir="2700000" algn="tl" rotWithShape="0">
                  <a:srgbClr val="5B9BD5">
                    <a:lumMod val="75000"/>
                    <a:alpha val="40000"/>
                  </a:srgbClr>
                </a:outerShdw>
              </a:effectLst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effectLst/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solidFill>
                    <a:schemeClr val="lt1">
                      <a:alpha val="90000"/>
                    </a:schemeClr>
                  </a:solidFill>
                  <a:ln w="12700" cap="flat" cmpd="sng" algn="ctr">
                    <a:solidFill>
                      <a:schemeClr val="accent1"/>
                    </a:solidFill>
                    <a:round/>
                  </a:ln>
                </c15:spPr>
              </c:ext>
            </c:extLst>
          </c:dLbls>
          <c:cat>
            <c:strRef>
              <c:f>Sheet3!$B$2:$D$2</c:f>
              <c:strCache>
                <c:ptCount val="3"/>
                <c:pt idx="0">
                  <c:v>Poglavlje I</c:v>
                </c:pt>
                <c:pt idx="1">
                  <c:v>Poglavlje V</c:v>
                </c:pt>
                <c:pt idx="2">
                  <c:v>Aneks II</c:v>
                </c:pt>
              </c:strCache>
            </c:strRef>
          </c:cat>
          <c:val>
            <c:numRef>
              <c:f>Sheet3!$B$3:$D$3</c:f>
              <c:numCache>
                <c:formatCode>#,##0.00</c:formatCode>
                <c:ptCount val="3"/>
                <c:pt idx="0">
                  <c:v>3701675680.7199998</c:v>
                </c:pt>
                <c:pt idx="1">
                  <c:v>341250763.05000001</c:v>
                </c:pt>
                <c:pt idx="2">
                  <c:v>367315050.73000002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1F5-4F39-A558-32F0B18BECA3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01F5-4F39-A558-32F0B18BECA3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01F5-4F39-A558-32F0B18BECA3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01F5-4F39-A558-32F0B18BECA3}"/>
              </c:ext>
            </c:extLst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</c:ext>
                <c:ext xmlns:c16="http://schemas.microsoft.com/office/drawing/2014/chart" uri="{C3380CC4-5D6E-409C-BE32-E72D297353CC}">
                  <c16:uniqueId val="{00000008-01F5-4F39-A558-32F0B18BECA3}"/>
                </c:ext>
              </c:extLst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</c:ext>
                <c:ext xmlns:c16="http://schemas.microsoft.com/office/drawing/2014/chart" uri="{C3380CC4-5D6E-409C-BE32-E72D297353CC}">
                  <c16:uniqueId val="{0000000A-01F5-4F39-A558-32F0B18BECA3}"/>
                </c:ext>
              </c:extLst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</c:ext>
                <c:ext xmlns:c16="http://schemas.microsoft.com/office/drawing/2014/chart" uri="{C3380CC4-5D6E-409C-BE32-E72D297353CC}">
                  <c16:uniqueId val="{0000000C-01F5-4F39-A558-32F0B18BECA3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ED7D31"/>
                </a:solidFill>
                <a:round/>
              </a:ln>
              <a:effectLst>
                <a:outerShdw blurRad="50800" dist="38100" dir="2700000" algn="tl" rotWithShape="0">
                  <a:srgbClr val="ED7D31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solidFill>
                    <a:schemeClr val="lt1">
                      <a:alpha val="90000"/>
                    </a:schemeClr>
                  </a:solidFill>
                  <a:ln w="12700" cap="flat" cmpd="sng" algn="ctr">
                    <a:solidFill>
                      <a:schemeClr val="accent1"/>
                    </a:solidFill>
                    <a:round/>
                  </a:ln>
                </c15:spPr>
              </c:ext>
            </c:extLst>
          </c:dLbls>
          <c:cat>
            <c:strRef>
              <c:f>Sheet3!$B$2:$D$2</c:f>
              <c:strCache>
                <c:ptCount val="3"/>
                <c:pt idx="0">
                  <c:v>Poglavlje I</c:v>
                </c:pt>
                <c:pt idx="1">
                  <c:v>Poglavlje V</c:v>
                </c:pt>
                <c:pt idx="2">
                  <c:v>Aneks II</c:v>
                </c:pt>
              </c:strCache>
            </c:strRef>
          </c:cat>
          <c:val>
            <c:numRef>
              <c:f>Sheet3!$B$4:$D$4</c:f>
              <c:numCache>
                <c:formatCode>General</c:formatCode>
                <c:ptCount val="3"/>
                <c:pt idx="0">
                  <c:v>83.93</c:v>
                </c:pt>
                <c:pt idx="1">
                  <c:v>7.74</c:v>
                </c:pt>
                <c:pt idx="2">
                  <c:v>8.33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01F5-4F39-A558-32F0B18BECA3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1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462-4E26-AA45-F6C6FFB3A0B1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462-4E26-AA45-F6C6FFB3A0B1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462-4E26-AA45-F6C6FFB3A0B1}"/>
              </c:ext>
            </c:extLst>
          </c:dPt>
          <c:dLbls>
            <c:dLbl>
              <c:idx val="0"/>
              <c:layout>
                <c:manualLayout>
                  <c:x val="0.11944444444444434"/>
                  <c:y val="-9.2592592592592692E-3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18023F39-B047-4E20-BEFA-B52CD7BF7F87}" type="CATEGORYNAME">
                      <a:rPr lang="en-US" sz="800"/>
                      <a:pPr>
                        <a:defRPr sz="800"/>
                      </a:pPr>
                      <a:t>[CATEGORY NAME]</a:t>
                    </a:fld>
                    <a:r>
                      <a:rPr lang="en-US" sz="800" baseline="0"/>
                      <a:t>
57.169</a:t>
                    </a:r>
                  </a:p>
                  <a:p>
                    <a:pPr>
                      <a:defRPr sz="800"/>
                    </a:pPr>
                    <a:r>
                      <a:rPr lang="en-US" sz="800" baseline="0"/>
                      <a:t>26.46%</a:t>
                    </a:r>
                  </a:p>
                </c:rich>
              </c:tx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5B9BD5"/>
                  </a:solidFill>
                  <a:round/>
                </a:ln>
                <a:effectLst>
                  <a:outerShdw blurRad="50800" dist="38100" dir="2700000" algn="tl" rotWithShape="0">
                    <a:srgbClr val="5B9BD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462-4E26-AA45-F6C6FFB3A0B1}"/>
                </c:ext>
              </c:extLst>
            </c:dLbl>
            <c:dLbl>
              <c:idx val="1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F3DEC0E6-D50B-4984-9ED7-3409CF103CC6}" type="CATEGORYNAME">
                      <a:rPr lang="en-US" sz="800"/>
                      <a:pPr>
                        <a:defRPr sz="800"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 sz="800" baseline="0"/>
                      <a:t>
133.853</a:t>
                    </a:r>
                  </a:p>
                  <a:p>
                    <a:pPr>
                      <a:defRPr sz="800">
                        <a:solidFill>
                          <a:schemeClr val="accent1"/>
                        </a:solidFill>
                      </a:defRPr>
                    </a:pPr>
                    <a:r>
                      <a:rPr lang="en-US" sz="800" baseline="0"/>
                      <a:t>61.96%</a:t>
                    </a:r>
                  </a:p>
                </c:rich>
              </c:tx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5B9BD5"/>
                  </a:solidFill>
                  <a:round/>
                </a:ln>
                <a:effectLst>
                  <a:outerShdw blurRad="50800" dist="38100" dir="2700000" algn="tl" rotWithShape="0">
                    <a:srgbClr val="5B9BD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462-4E26-AA45-F6C6FFB3A0B1}"/>
                </c:ext>
              </c:extLst>
            </c:dLbl>
            <c:dLbl>
              <c:idx val="2"/>
              <c:layout>
                <c:manualLayout>
                  <c:x val="-0.14166666666666666"/>
                  <c:y val="3.2407407407407399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5B649578-ED97-40DA-9EB4-C48FD2625378}" type="CATEGORYNAME">
                      <a:rPr lang="en-US" sz="800"/>
                      <a:pPr>
                        <a:defRPr sz="800"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 sz="800" baseline="0"/>
                      <a:t>
25.07</a:t>
                    </a:r>
                  </a:p>
                  <a:p>
                    <a:pPr>
                      <a:defRPr sz="800">
                        <a:solidFill>
                          <a:schemeClr val="accent1"/>
                        </a:solidFill>
                      </a:defRPr>
                    </a:pPr>
                    <a:r>
                      <a:rPr lang="en-US" sz="800" baseline="0"/>
                      <a:t>11.58%</a:t>
                    </a:r>
                  </a:p>
                </c:rich>
              </c:tx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5B9BD5"/>
                  </a:solidFill>
                  <a:round/>
                </a:ln>
                <a:effectLst>
                  <a:outerShdw blurRad="50800" dist="38100" dir="2700000" algn="tl" rotWithShape="0">
                    <a:srgbClr val="5B9BD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1462-4E26-AA45-F6C6FFB3A0B1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5B9BD5"/>
                </a:solidFill>
                <a:round/>
              </a:ln>
              <a:effectLst>
                <a:outerShdw blurRad="50800" dist="38100" dir="2700000" algn="tl" rotWithShape="0">
                  <a:srgbClr val="5B9BD5">
                    <a:lumMod val="75000"/>
                    <a:alpha val="40000"/>
                  </a:srgbClr>
                </a:outerShdw>
              </a:effectLst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accent1"/>
                    </a:solidFill>
                    <a:effectLst/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solidFill>
                    <a:schemeClr val="lt1">
                      <a:alpha val="90000"/>
                    </a:schemeClr>
                  </a:solidFill>
                  <a:ln w="12700" cap="flat" cmpd="sng" algn="ctr">
                    <a:solidFill>
                      <a:schemeClr val="accent1"/>
                    </a:solidFill>
                    <a:round/>
                  </a:ln>
                </c15:spPr>
              </c:ext>
            </c:extLst>
          </c:dLbls>
          <c:cat>
            <c:strRef>
              <c:f>Sheet3!$B$19:$D$19</c:f>
              <c:strCache>
                <c:ptCount val="3"/>
                <c:pt idx="0">
                  <c:v>Poglavlje I</c:v>
                </c:pt>
                <c:pt idx="1">
                  <c:v>Poglavlje V</c:v>
                </c:pt>
                <c:pt idx="2">
                  <c:v>Aneks II</c:v>
                </c:pt>
              </c:strCache>
            </c:strRef>
          </c:cat>
          <c:val>
            <c:numRef>
              <c:f>Sheet3!$B$20:$D$20</c:f>
              <c:numCache>
                <c:formatCode>General</c:formatCode>
                <c:ptCount val="3"/>
                <c:pt idx="0">
                  <c:v>57.168999999999997</c:v>
                </c:pt>
                <c:pt idx="1">
                  <c:v>133.85300000000001</c:v>
                </c:pt>
                <c:pt idx="2">
                  <c:v>25.016999999999999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462-4E26-AA45-F6C6FFB3A0B1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1462-4E26-AA45-F6C6FFB3A0B1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1462-4E26-AA45-F6C6FFB3A0B1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1462-4E26-AA45-F6C6FFB3A0B1}"/>
              </c:ext>
            </c:extLst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8-1462-4E26-AA45-F6C6FFB3A0B1}"/>
                </c:ext>
              </c:extLst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A-1462-4E26-AA45-F6C6FFB3A0B1}"/>
                </c:ext>
              </c:extLst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C-1462-4E26-AA45-F6C6FFB3A0B1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ED7D31"/>
                </a:solidFill>
                <a:round/>
              </a:ln>
              <a:effectLst>
                <a:outerShdw blurRad="50800" dist="38100" dir="2700000" algn="tl" rotWithShape="0">
                  <a:srgbClr val="ED7D31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Sheet3!$B$19:$D$19</c:f>
              <c:strCache>
                <c:ptCount val="3"/>
                <c:pt idx="0">
                  <c:v>Poglavlje I</c:v>
                </c:pt>
                <c:pt idx="1">
                  <c:v>Poglavlje V</c:v>
                </c:pt>
                <c:pt idx="2">
                  <c:v>Aneks II</c:v>
                </c:pt>
              </c:strCache>
            </c:strRef>
          </c:cat>
          <c:val>
            <c:numRef>
              <c:f>Sheet3!$B$21:$D$21</c:f>
              <c:numCache>
                <c:formatCode>General</c:formatCode>
                <c:ptCount val="3"/>
                <c:pt idx="0">
                  <c:v>26.46</c:v>
                </c:pt>
                <c:pt idx="1">
                  <c:v>61.96</c:v>
                </c:pt>
                <c:pt idx="2">
                  <c:v>11.58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1462-4E26-AA45-F6C6FFB3A0B1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PBO!$B$53</c:f>
              <c:strCache>
                <c:ptCount val="1"/>
                <c:pt idx="0">
                  <c:v>Robe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PBO!$C$52:$G$52</c:f>
              <c:strCache>
                <c:ptCount val="5"/>
                <c:pt idx="0">
                  <c:v>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PBO!$C$53:$G$53</c:f>
              <c:numCache>
                <c:formatCode>#,##0.00</c:formatCode>
                <c:ptCount val="5"/>
                <c:pt idx="0">
                  <c:v>2622696.89</c:v>
                </c:pt>
                <c:pt idx="1">
                  <c:v>147812103.58000001</c:v>
                </c:pt>
                <c:pt idx="2">
                  <c:v>43897166.450000003</c:v>
                </c:pt>
                <c:pt idx="3">
                  <c:v>268488.55</c:v>
                </c:pt>
                <c:pt idx="4">
                  <c:v>194600455.47000003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81-46CC-B325-E5BAEC1C196E}"/>
            </c:ext>
          </c:extLst>
        </c:ser>
        <c:ser>
          <c:idx val="1"/>
          <c:order val="1"/>
          <c:tx>
            <c:strRef>
              <c:f>PBO!$B$54</c:f>
              <c:strCache>
                <c:ptCount val="1"/>
                <c:pt idx="0">
                  <c:v>Usluge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PBO!$C$52:$G$52</c:f>
              <c:strCache>
                <c:ptCount val="5"/>
                <c:pt idx="0">
                  <c:v>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PBO!$C$54:$G$54</c:f>
              <c:numCache>
                <c:formatCode>#,##0.00</c:formatCode>
                <c:ptCount val="5"/>
                <c:pt idx="0">
                  <c:v>1493813.2</c:v>
                </c:pt>
                <c:pt idx="1">
                  <c:v>48048276.030000001</c:v>
                </c:pt>
                <c:pt idx="2">
                  <c:v>24176599.43</c:v>
                </c:pt>
                <c:pt idx="3">
                  <c:v>414090.8</c:v>
                </c:pt>
                <c:pt idx="4">
                  <c:v>74132779.459999993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181-46CC-B325-E5BAEC1C196E}"/>
            </c:ext>
          </c:extLst>
        </c:ser>
        <c:ser>
          <c:idx val="2"/>
          <c:order val="2"/>
          <c:tx>
            <c:strRef>
              <c:f>PBO!$B$55</c:f>
              <c:strCache>
                <c:ptCount val="1"/>
                <c:pt idx="0">
                  <c:v>Radovi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PBO!$C$52:$G$52</c:f>
              <c:strCache>
                <c:ptCount val="5"/>
                <c:pt idx="0">
                  <c:v>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PBO!$C$55:$G$55</c:f>
              <c:numCache>
                <c:formatCode>#,##0.00</c:formatCode>
                <c:ptCount val="5"/>
                <c:pt idx="0">
                  <c:v>83292.399999999994</c:v>
                </c:pt>
                <c:pt idx="1">
                  <c:v>6949306.5</c:v>
                </c:pt>
                <c:pt idx="2">
                  <c:v>19353871.370000001</c:v>
                </c:pt>
                <c:pt idx="3">
                  <c:v>28867.15</c:v>
                </c:pt>
                <c:pt idx="4">
                  <c:v>26415337.420000002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181-46CC-B325-E5BAEC1C196E}"/>
            </c:ext>
          </c:extLst>
        </c:ser>
        <c:ser>
          <c:idx val="3"/>
          <c:order val="3"/>
          <c:tx>
            <c:strRef>
              <c:f>PBO!$B$56</c:f>
              <c:strCache>
                <c:ptCount val="1"/>
                <c:pt idx="0">
                  <c:v>Ukupno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PBO!$C$52:$G$52</c:f>
              <c:strCache>
                <c:ptCount val="5"/>
                <c:pt idx="0">
                  <c:v>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PBO!$C$56:$G$56</c:f>
              <c:numCache>
                <c:formatCode>#,##0.00</c:formatCode>
                <c:ptCount val="5"/>
                <c:pt idx="0">
                  <c:v>4199802.49</c:v>
                </c:pt>
                <c:pt idx="1">
                  <c:v>202809686.11000001</c:v>
                </c:pt>
                <c:pt idx="2">
                  <c:v>87427637.25</c:v>
                </c:pt>
                <c:pt idx="3">
                  <c:v>711446.5</c:v>
                </c:pt>
                <c:pt idx="4">
                  <c:v>295148572.35000002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181-46CC-B325-E5BAEC1C19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32666560"/>
        <c:axId val="732662952"/>
      </c:barChart>
      <c:catAx>
        <c:axId val="732666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32662952"/>
        <c:crosses val="autoZero"/>
        <c:auto val="1"/>
        <c:lblAlgn val="ctr"/>
        <c:lblOffset val="100"/>
        <c:noMultiLvlLbl val="0"/>
      </c:catAx>
      <c:valAx>
        <c:axId val="73266295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crossAx val="73266656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PBO!$B$59</c:f>
              <c:strCache>
                <c:ptCount val="1"/>
                <c:pt idx="0">
                  <c:v>Robe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PBO!$C$59:$G$59</c:f>
              <c:numCache>
                <c:formatCode>General</c:formatCode>
                <c:ptCount val="5"/>
                <c:pt idx="0">
                  <c:v>64</c:v>
                </c:pt>
                <c:pt idx="1">
                  <c:v>218</c:v>
                </c:pt>
                <c:pt idx="2">
                  <c:v>135</c:v>
                </c:pt>
                <c:pt idx="3">
                  <c:v>2</c:v>
                </c:pt>
                <c:pt idx="4">
                  <c:v>419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7B-48D7-8CF4-68AEA9DCF711}"/>
            </c:ext>
          </c:extLst>
        </c:ser>
        <c:ser>
          <c:idx val="1"/>
          <c:order val="1"/>
          <c:tx>
            <c:strRef>
              <c:f>PBO!$B$60</c:f>
              <c:strCache>
                <c:ptCount val="1"/>
                <c:pt idx="0">
                  <c:v>Usluge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PBO!$C$60:$G$60</c:f>
              <c:numCache>
                <c:formatCode>General</c:formatCode>
                <c:ptCount val="5"/>
                <c:pt idx="0">
                  <c:v>73</c:v>
                </c:pt>
                <c:pt idx="1">
                  <c:v>254</c:v>
                </c:pt>
                <c:pt idx="2">
                  <c:v>199</c:v>
                </c:pt>
                <c:pt idx="3">
                  <c:v>11</c:v>
                </c:pt>
                <c:pt idx="4">
                  <c:v>537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7B-48D7-8CF4-68AEA9DCF711}"/>
            </c:ext>
          </c:extLst>
        </c:ser>
        <c:ser>
          <c:idx val="2"/>
          <c:order val="2"/>
          <c:tx>
            <c:strRef>
              <c:f>PBO!$B$61</c:f>
              <c:strCache>
                <c:ptCount val="1"/>
                <c:pt idx="0">
                  <c:v>Radovi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val>
            <c:numRef>
              <c:f>PBO!$C$61:$G$61</c:f>
              <c:numCache>
                <c:formatCode>General</c:formatCode>
                <c:ptCount val="5"/>
                <c:pt idx="0">
                  <c:v>9</c:v>
                </c:pt>
                <c:pt idx="1">
                  <c:v>96</c:v>
                </c:pt>
                <c:pt idx="2">
                  <c:v>152</c:v>
                </c:pt>
                <c:pt idx="3">
                  <c:v>2</c:v>
                </c:pt>
                <c:pt idx="4">
                  <c:v>259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D7B-48D7-8CF4-68AEA9DCF711}"/>
            </c:ext>
          </c:extLst>
        </c:ser>
        <c:ser>
          <c:idx val="3"/>
          <c:order val="3"/>
          <c:tx>
            <c:strRef>
              <c:f>PBO!$B$62</c:f>
              <c:strCache>
                <c:ptCount val="1"/>
                <c:pt idx="0">
                  <c:v>Ukupno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val>
            <c:numRef>
              <c:f>PBO!$C$62:$G$62</c:f>
              <c:numCache>
                <c:formatCode>General</c:formatCode>
                <c:ptCount val="5"/>
                <c:pt idx="0">
                  <c:v>146</c:v>
                </c:pt>
                <c:pt idx="1">
                  <c:v>568</c:v>
                </c:pt>
                <c:pt idx="2">
                  <c:v>486</c:v>
                </c:pt>
                <c:pt idx="3">
                  <c:v>15</c:v>
                </c:pt>
                <c:pt idx="4">
                  <c:v>1215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D7B-48D7-8CF4-68AEA9DCF7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8895104"/>
        <c:axId val="528891824"/>
      </c:barChart>
      <c:catAx>
        <c:axId val="52889510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8891824"/>
        <c:crosses val="autoZero"/>
        <c:auto val="1"/>
        <c:lblAlgn val="ctr"/>
        <c:lblOffset val="100"/>
        <c:noMultiLvlLbl val="0"/>
      </c:catAx>
      <c:valAx>
        <c:axId val="52889182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288951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'Primljene i prihvatljive ponude'!$E$4</c:f>
              <c:strCache>
                <c:ptCount val="1"/>
                <c:pt idx="0">
                  <c:v>Broj primljenih ponuda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'Primljene i prihvatljive ponude'!$D$5:$D$11</c:f>
              <c:strCache>
                <c:ptCount val="7"/>
                <c:pt idx="0">
                  <c:v>Otvoreni </c:v>
                </c:pt>
                <c:pt idx="1">
                  <c:v>Ograničeni </c:v>
                </c:pt>
                <c:pt idx="2">
                  <c:v>Pregovarački bez objave</c:v>
                </c:pt>
                <c:pt idx="3">
                  <c:v>Pregovarački sa objavom</c:v>
                </c:pt>
                <c:pt idx="4">
                  <c:v>Takmičarski postupak</c:v>
                </c:pt>
                <c:pt idx="5">
                  <c:v>Konkurentski zahtjev</c:v>
                </c:pt>
                <c:pt idx="6">
                  <c:v>Ukupno</c:v>
                </c:pt>
              </c:strCache>
            </c:strRef>
          </c:cat>
          <c:val>
            <c:numRef>
              <c:f>'Primljene i prihvatljive ponude'!$E$5:$E$11</c:f>
              <c:numCache>
                <c:formatCode>General</c:formatCode>
                <c:ptCount val="7"/>
                <c:pt idx="0">
                  <c:v>1.99</c:v>
                </c:pt>
                <c:pt idx="1">
                  <c:v>1.7</c:v>
                </c:pt>
                <c:pt idx="2">
                  <c:v>1.18</c:v>
                </c:pt>
                <c:pt idx="3">
                  <c:v>1.94</c:v>
                </c:pt>
                <c:pt idx="4">
                  <c:v>1</c:v>
                </c:pt>
                <c:pt idx="5">
                  <c:v>1.94</c:v>
                </c:pt>
                <c:pt idx="6">
                  <c:v>1.62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C4-4F80-9C93-47FFA473FB09}"/>
            </c:ext>
          </c:extLst>
        </c:ser>
        <c:ser>
          <c:idx val="1"/>
          <c:order val="1"/>
          <c:tx>
            <c:strRef>
              <c:f>'Primljene i prihvatljive ponude'!$F$4</c:f>
              <c:strCache>
                <c:ptCount val="1"/>
                <c:pt idx="0">
                  <c:v>Broj prihvatljivih ponuda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'Primljene i prihvatljive ponude'!$D$5:$D$11</c:f>
              <c:strCache>
                <c:ptCount val="7"/>
                <c:pt idx="0">
                  <c:v>Otvoreni </c:v>
                </c:pt>
                <c:pt idx="1">
                  <c:v>Ograničeni </c:v>
                </c:pt>
                <c:pt idx="2">
                  <c:v>Pregovarački bez objave</c:v>
                </c:pt>
                <c:pt idx="3">
                  <c:v>Pregovarački sa objavom</c:v>
                </c:pt>
                <c:pt idx="4">
                  <c:v>Takmičarski postupak</c:v>
                </c:pt>
                <c:pt idx="5">
                  <c:v>Konkurentski zahtjev</c:v>
                </c:pt>
                <c:pt idx="6">
                  <c:v>Ukupno</c:v>
                </c:pt>
              </c:strCache>
            </c:strRef>
          </c:cat>
          <c:val>
            <c:numRef>
              <c:f>'Primljene i prihvatljive ponude'!$F$5:$F$11</c:f>
              <c:numCache>
                <c:formatCode>General</c:formatCode>
                <c:ptCount val="7"/>
                <c:pt idx="0">
                  <c:v>1.74</c:v>
                </c:pt>
                <c:pt idx="1">
                  <c:v>1.53</c:v>
                </c:pt>
                <c:pt idx="2">
                  <c:v>1</c:v>
                </c:pt>
                <c:pt idx="3">
                  <c:v>1.93</c:v>
                </c:pt>
                <c:pt idx="4">
                  <c:v>1</c:v>
                </c:pt>
                <c:pt idx="5">
                  <c:v>1.73</c:v>
                </c:pt>
                <c:pt idx="6">
                  <c:v>1.49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0C4-4F80-9C93-47FFA473FB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41185135"/>
        <c:axId val="1241183215"/>
      </c:barChart>
      <c:catAx>
        <c:axId val="12411851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41183215"/>
        <c:crosses val="autoZero"/>
        <c:auto val="1"/>
        <c:lblAlgn val="ctr"/>
        <c:lblOffset val="100"/>
        <c:noMultiLvlLbl val="0"/>
      </c:catAx>
      <c:valAx>
        <c:axId val="1241183215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241185135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736-4B9E-B02D-9E4900A7434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736-4B9E-B02D-9E4900A7434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736-4B9E-B02D-9E4900A74343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A29CA2BF-EBAD-4586-AD71-A78322497237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2A2CF8CD-8C72-46F7-8119-BA13E6C2EBCD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, 79.36%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736-4B9E-B02D-9E4900A74343}"/>
                </c:ext>
              </c:extLst>
            </c:dLbl>
            <c:dLbl>
              <c:idx val="1"/>
              <c:layout>
                <c:manualLayout>
                  <c:x val="2.7777777777777779E-3"/>
                  <c:y val="-0.12037037037037036"/>
                </c:manualLayout>
              </c:layout>
              <c:tx>
                <c:rich>
                  <a:bodyPr/>
                  <a:lstStyle/>
                  <a:p>
                    <a:fld id="{10E22EAC-C86A-425B-9647-EB45DDD29899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F9FB954D-9440-48B1-A921-3386EDE65222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, 6.48%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736-4B9E-B02D-9E4900A74343}"/>
                </c:ext>
              </c:extLst>
            </c:dLbl>
            <c:dLbl>
              <c:idx val="2"/>
              <c:layout>
                <c:manualLayout>
                  <c:x val="0.52500000000000002"/>
                  <c:y val="0"/>
                </c:manualLayout>
              </c:layout>
              <c:tx>
                <c:rich>
                  <a:bodyPr/>
                  <a:lstStyle/>
                  <a:p>
                    <a:fld id="{392699C2-730F-48E0-9540-2321A491A9DA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253F07FD-9F27-449C-8F20-2AC4CA4D0F1C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, 14.16%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736-4B9E-B02D-9E4900A7434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'I+V +Aneks V'!$D$9:$F$9</c:f>
              <c:strCache>
                <c:ptCount val="3"/>
                <c:pt idx="0">
                  <c:v>Poglavlje I</c:v>
                </c:pt>
                <c:pt idx="1">
                  <c:v>Poglavlje V</c:v>
                </c:pt>
                <c:pt idx="2">
                  <c:v>Aneks II</c:v>
                </c:pt>
              </c:strCache>
            </c:strRef>
          </c:cat>
          <c:val>
            <c:numRef>
              <c:f>'I+V +Aneks V'!$D$10:$F$10</c:f>
              <c:numCache>
                <c:formatCode>#,##0.00</c:formatCode>
                <c:ptCount val="3"/>
                <c:pt idx="0">
                  <c:v>4015518672.6399999</c:v>
                </c:pt>
                <c:pt idx="1">
                  <c:v>328139437.19999999</c:v>
                </c:pt>
                <c:pt idx="2">
                  <c:v>716474015.76999998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736-4B9E-B02D-9E4900A743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2D2-453D-8285-BB7370FAD7B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2D2-453D-8285-BB7370FAD7B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2D2-453D-8285-BB7370FAD7B6}"/>
              </c:ext>
            </c:extLst>
          </c:dPt>
          <c:dLbls>
            <c:dLbl>
              <c:idx val="0"/>
              <c:layout>
                <c:manualLayout>
                  <c:x val="8.8888888888888781E-2"/>
                  <c:y val="-2.3148148148148157E-2"/>
                </c:manualLayout>
              </c:layout>
              <c:tx>
                <c:rich>
                  <a:bodyPr/>
                  <a:lstStyle/>
                  <a:p>
                    <a:fld id="{9833EEB3-9D82-4B06-99D7-72C578FE8A3B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927AA7AF-B144-4BAF-BAF3-E7AD9214D172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
26,86%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2D2-453D-8285-BB7370FAD7B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2FCB7CA3-6D65-4920-8F2F-8592A012CBA7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08F6E686-C722-4B21-BC7F-190264E7E2B6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0
63,50%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2D2-453D-8285-BB7370FAD7B6}"/>
                </c:ext>
              </c:extLst>
            </c:dLbl>
            <c:dLbl>
              <c:idx val="2"/>
              <c:layout>
                <c:manualLayout>
                  <c:x val="-0.19722222222222224"/>
                  <c:y val="-4.6296296296296302E-3"/>
                </c:manualLayout>
              </c:layout>
              <c:tx>
                <c:rich>
                  <a:bodyPr/>
                  <a:lstStyle/>
                  <a:p>
                    <a:fld id="{E3F49B3D-BCC3-4787-A93A-C8C4F202F2D3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90999BF7-2A82-4CCF-80E0-544328E6C990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
9,64%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2D2-453D-8285-BB7370FAD7B6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'I+V +Aneks V'!$E$48:$G$48</c:f>
              <c:strCache>
                <c:ptCount val="3"/>
                <c:pt idx="0">
                  <c:v>Poglavlje I</c:v>
                </c:pt>
                <c:pt idx="1">
                  <c:v>Poglavlje V</c:v>
                </c:pt>
                <c:pt idx="2">
                  <c:v>Aneks II</c:v>
                </c:pt>
              </c:strCache>
            </c:strRef>
          </c:cat>
          <c:val>
            <c:numRef>
              <c:f>'I+V +Aneks V'!$E$49:$G$49</c:f>
              <c:numCache>
                <c:formatCode>#,##0.00</c:formatCode>
                <c:ptCount val="3"/>
                <c:pt idx="0" formatCode="General">
                  <c:v>65.506</c:v>
                </c:pt>
                <c:pt idx="1">
                  <c:v>154.84</c:v>
                </c:pt>
                <c:pt idx="2" formatCode="General">
                  <c:v>23.513999999999999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2D2-453D-8285-BB7370FAD7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PBO!$J$7:$J$14</c:f>
              <c:numCache>
                <c:formatCode>General</c:formatCode>
                <c:ptCount val="8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41C-4B02-8B3D-556103BD7887}"/>
            </c:ext>
          </c:extLst>
        </c:ser>
        <c:ser>
          <c:idx val="1"/>
          <c:order val="1"/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9.4333333333333338E-2"/>
                  <c:y val="-0.1527777777777777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41C-4B02-8B3D-556103BD7887}"/>
                </c:ext>
              </c:extLst>
            </c:dLbl>
            <c:dLbl>
              <c:idx val="1"/>
              <c:layout>
                <c:manualLayout>
                  <c:x val="-6.933333333333333E-2"/>
                  <c:y val="0.1435185185185185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41C-4B02-8B3D-556103BD7887}"/>
                </c:ext>
              </c:extLst>
            </c:dLbl>
            <c:dLbl>
              <c:idx val="2"/>
              <c:layout>
                <c:manualLayout>
                  <c:x val="-0.14155555555555557"/>
                  <c:y val="-6.48148148148148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41C-4B02-8B3D-556103BD7887}"/>
                </c:ext>
              </c:extLst>
            </c:dLbl>
            <c:dLbl>
              <c:idx val="3"/>
              <c:layout>
                <c:manualLayout>
                  <c:x val="-3.0444444444444545E-2"/>
                  <c:y val="-8.33333333333333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41C-4B02-8B3D-556103BD7887}"/>
                </c:ext>
              </c:extLst>
            </c:dLbl>
            <c:dLbl>
              <c:idx val="4"/>
              <c:layout>
                <c:manualLayout>
                  <c:x val="-8.5999999999999896E-2"/>
                  <c:y val="0.138888888888888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41C-4B02-8B3D-556103BD7887}"/>
                </c:ext>
              </c:extLst>
            </c:dLbl>
            <c:dLbl>
              <c:idx val="5"/>
              <c:layout>
                <c:manualLayout>
                  <c:x val="-0.10266666666666677"/>
                  <c:y val="-8.33333333333333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41C-4B02-8B3D-556103BD7887}"/>
                </c:ext>
              </c:extLst>
            </c:dLbl>
            <c:dLbl>
              <c:idx val="6"/>
              <c:layout>
                <c:manualLayout>
                  <c:x val="-0.10266666666666677"/>
                  <c:y val="8.79629629629629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41C-4B02-8B3D-556103BD7887}"/>
                </c:ext>
              </c:extLst>
            </c:dLbl>
            <c:dLbl>
              <c:idx val="7"/>
              <c:layout>
                <c:manualLayout>
                  <c:x val="-1.8471128608923886E-3"/>
                  <c:y val="-0.1064814814814814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41C-4B02-8B3D-556103BD788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PBO!$K$7:$K$14</c:f>
              <c:numCache>
                <c:formatCode>#,##0.00</c:formatCode>
                <c:ptCount val="8"/>
                <c:pt idx="0">
                  <c:v>258524825.74000001</c:v>
                </c:pt>
                <c:pt idx="1">
                  <c:v>203338964.90000001</c:v>
                </c:pt>
                <c:pt idx="2">
                  <c:v>353251217.74000001</c:v>
                </c:pt>
                <c:pt idx="3">
                  <c:v>243080586.16999999</c:v>
                </c:pt>
                <c:pt idx="4">
                  <c:v>191570726.30000001</c:v>
                </c:pt>
                <c:pt idx="5">
                  <c:v>332759567.88999999</c:v>
                </c:pt>
                <c:pt idx="6">
                  <c:v>295148572.35000002</c:v>
                </c:pt>
                <c:pt idx="7">
                  <c:v>306440397.12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B41C-4B02-8B3D-556103BD788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97357487"/>
        <c:axId val="1092296351"/>
      </c:lineChart>
      <c:catAx>
        <c:axId val="99735748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92296351"/>
        <c:crosses val="autoZero"/>
        <c:auto val="1"/>
        <c:lblAlgn val="ctr"/>
        <c:lblOffset val="100"/>
        <c:noMultiLvlLbl val="0"/>
      </c:catAx>
      <c:valAx>
        <c:axId val="1092296351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crossAx val="9973574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8576</Words>
  <Characters>48887</Characters>
  <Application>Microsoft Office Word</Application>
  <DocSecurity>0</DocSecurity>
  <Lines>407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Džozlić-Čusto</dc:creator>
  <cp:keywords/>
  <dc:description/>
  <cp:lastModifiedBy>Dario Kihli</cp:lastModifiedBy>
  <cp:revision>3</cp:revision>
  <cp:lastPrinted>2025-12-02T09:25:00Z</cp:lastPrinted>
  <dcterms:created xsi:type="dcterms:W3CDTF">2026-03-11T13:07:00Z</dcterms:created>
  <dcterms:modified xsi:type="dcterms:W3CDTF">2026-03-30T08:59:00Z</dcterms:modified>
</cp:coreProperties>
</file>