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0D71" w14:textId="0B55023D" w:rsidR="00AD1277" w:rsidRPr="00AD1277" w:rsidRDefault="00AD1277" w:rsidP="00305C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:lang w:val="pt-BR"/>
          <w14:ligatures w14:val="none"/>
        </w:rPr>
      </w:pPr>
      <w:r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Analiza konkurencije u s</w:t>
      </w:r>
      <w:r w:rsidR="001026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ustavu</w:t>
      </w:r>
      <w:r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javnih nabav</w:t>
      </w:r>
      <w:r w:rsidR="001026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a</w:t>
      </w:r>
      <w:r w:rsidRPr="00AD12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 xml:space="preserve"> u Bosni i Hercegovini</w:t>
      </w:r>
    </w:p>
    <w:p w14:paraId="5F30342E" w14:textId="7771B96A" w:rsidR="0021204D" w:rsidRPr="00305C17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</w:pPr>
      <w:r w:rsidRPr="00305C1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1. Uvod</w:t>
      </w:r>
    </w:p>
    <w:p w14:paraId="574EBB34" w14:textId="218082DC" w:rsidR="0021204D" w:rsidRPr="00305C17" w:rsidRDefault="0021204D" w:rsidP="0052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Analiza konkurencije predstavlja jedan od ključnih elemenata ocjene transparentnosti, učinkovitosti i integriteta s</w:t>
      </w:r>
      <w:r w:rsidR="0010269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ustava</w:t>
      </w:r>
      <w:r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javn</w:t>
      </w:r>
      <w:r w:rsidR="002426E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e</w:t>
      </w:r>
      <w:r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nabav</w:t>
      </w:r>
      <w:r w:rsidR="002426E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e</w:t>
      </w:r>
      <w:r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</w:t>
      </w:r>
      <w:r w:rsidR="0010269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Razina</w:t>
      </w:r>
      <w:r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konkurencije </w:t>
      </w:r>
      <w:r w:rsidR="002426E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izravno</w:t>
      </w:r>
      <w:r w:rsidRPr="00305C1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utiče na:</w:t>
      </w:r>
    </w:p>
    <w:p w14:paraId="02708FFD" w14:textId="77777777" w:rsidR="0021204D" w:rsidRPr="00BA5220" w:rsidRDefault="0021204D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BA52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cijene i ekonomičnost trošenja javnih sredstava,</w:t>
      </w:r>
    </w:p>
    <w:p w14:paraId="33508513" w14:textId="77777777" w:rsidR="0021204D" w:rsidRPr="00104B20" w:rsidRDefault="0021204D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kvalitet roba, usluga i radova,</w:t>
      </w:r>
    </w:p>
    <w:p w14:paraId="330DEB2B" w14:textId="5BE573CF" w:rsidR="0021204D" w:rsidRPr="00104B20" w:rsidRDefault="0021204D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raspodjelu tržišnih prilika među ponu</w:t>
      </w:r>
      <w:r w:rsidR="0010269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diteljima</w:t>
      </w: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3803A31E" w14:textId="3581FB20" w:rsidR="0021204D" w:rsidRPr="00104B20" w:rsidRDefault="0021204D" w:rsidP="005247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percepciju javnosti o radu ugovornih </w:t>
      </w:r>
      <w:r w:rsidR="0010269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tijela</w:t>
      </w: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E958F36" w14:textId="414F94A5" w:rsidR="0021204D" w:rsidRPr="00104B20" w:rsidRDefault="00305C17" w:rsidP="00524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Ovaj dio analize 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obuh</w:t>
      </w:r>
      <w:r w:rsidR="0010269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vaća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102699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razdoblje</w:t>
      </w:r>
      <w:r w:rsidR="0021204D"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2022–2024. godine</w:t>
      </w:r>
      <w:r w:rsidR="0021204D"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fokusira se na:</w:t>
      </w:r>
    </w:p>
    <w:p w14:paraId="4AA3F83D" w14:textId="77777777" w:rsidR="0021204D" w:rsidRPr="00104B20" w:rsidRDefault="0021204D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broj i strukturu ponuda po vrstama postupaka i vrijednosnim razredima,</w:t>
      </w:r>
    </w:p>
    <w:p w14:paraId="0F770C1D" w14:textId="77777777" w:rsidR="0021204D" w:rsidRPr="00104B20" w:rsidRDefault="0021204D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učestalost postupaka sa jednom ponudom,</w:t>
      </w:r>
    </w:p>
    <w:p w14:paraId="651860BE" w14:textId="77777777" w:rsidR="0021204D" w:rsidRPr="00104B20" w:rsidRDefault="0021204D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teritorijalne i sektorske razlike u konkurenciji,</w:t>
      </w:r>
    </w:p>
    <w:p w14:paraId="7344394E" w14:textId="6FCEE583" w:rsidR="0021204D" w:rsidRPr="00104B20" w:rsidRDefault="0021204D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koncentraciju vrijednosti ugovora po ponu</w:t>
      </w:r>
      <w:r w:rsidR="0010269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diteljima</w:t>
      </w: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ugovornim </w:t>
      </w:r>
      <w:r w:rsidR="0010269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tijelima</w:t>
      </w: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1B574ED6" w14:textId="77777777" w:rsidR="0021204D" w:rsidRPr="00104B20" w:rsidRDefault="0021204D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04B20">
        <w:rPr>
          <w:rFonts w:ascii="Times New Roman" w:eastAsia="Times New Roman" w:hAnsi="Times New Roman" w:cs="Times New Roman"/>
          <w:kern w:val="0"/>
          <w14:ligatures w14:val="none"/>
        </w:rPr>
        <w:t>razloge</w:t>
      </w:r>
      <w:proofErr w:type="spellEnd"/>
      <w:r w:rsidRPr="00104B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04B20">
        <w:rPr>
          <w:rFonts w:ascii="Times New Roman" w:eastAsia="Times New Roman" w:hAnsi="Times New Roman" w:cs="Times New Roman"/>
          <w:kern w:val="0"/>
          <w14:ligatures w14:val="none"/>
        </w:rPr>
        <w:t>poništavanja</w:t>
      </w:r>
      <w:proofErr w:type="spellEnd"/>
      <w:r w:rsidRPr="00104B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04B20">
        <w:rPr>
          <w:rFonts w:ascii="Times New Roman" w:eastAsia="Times New Roman" w:hAnsi="Times New Roman" w:cs="Times New Roman"/>
          <w:kern w:val="0"/>
          <w14:ligatures w14:val="none"/>
        </w:rPr>
        <w:t>postupaka</w:t>
      </w:r>
      <w:proofErr w:type="spellEnd"/>
      <w:r w:rsidRPr="00104B2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F7837FD" w14:textId="6F47D57D" w:rsidR="0021204D" w:rsidRPr="00104B20" w:rsidRDefault="0021204D" w:rsidP="005247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dodatne faktore koji utiču na konkurenciju (e-aukcije, podjela na lotove, centralizirane nabave, trajanje procedura).</w:t>
      </w:r>
    </w:p>
    <w:p w14:paraId="1FFD9391" w14:textId="20FD0960" w:rsidR="00E274AC" w:rsidRPr="00104B20" w:rsidRDefault="0021204D" w:rsidP="00E274AC">
      <w:pPr>
        <w:pStyle w:val="xmsonormal"/>
        <w:rPr>
          <w:rFonts w:ascii="Times New Roman" w:eastAsia="Times New Roman" w:hAnsi="Times New Roman" w:cs="Times New Roman"/>
          <w:lang w:val="pt-BR"/>
        </w:rPr>
      </w:pPr>
      <w:r w:rsidRPr="00104B20">
        <w:rPr>
          <w:rFonts w:ascii="Times New Roman" w:eastAsia="Times New Roman" w:hAnsi="Times New Roman" w:cs="Times New Roman"/>
          <w:lang w:val="pt-BR"/>
        </w:rPr>
        <w:t xml:space="preserve">Za svaku godinu se daje zasebna analiza, a na kraju se izvode </w:t>
      </w:r>
      <w:r w:rsidRPr="00104B20">
        <w:rPr>
          <w:rFonts w:ascii="Times New Roman" w:eastAsia="Times New Roman" w:hAnsi="Times New Roman" w:cs="Times New Roman"/>
          <w:b/>
          <w:bCs/>
          <w:lang w:val="pt-BR"/>
        </w:rPr>
        <w:t>horizontalni nalazi i preporuke</w:t>
      </w:r>
      <w:r w:rsidRPr="00104B20">
        <w:rPr>
          <w:rFonts w:ascii="Times New Roman" w:eastAsia="Times New Roman" w:hAnsi="Times New Roman" w:cs="Times New Roman"/>
          <w:lang w:val="pt-BR"/>
        </w:rPr>
        <w:t xml:space="preserve"> za razvoj konkurencije u s</w:t>
      </w:r>
      <w:r w:rsidR="00102699">
        <w:rPr>
          <w:rFonts w:ascii="Times New Roman" w:eastAsia="Times New Roman" w:hAnsi="Times New Roman" w:cs="Times New Roman"/>
          <w:lang w:val="pt-BR"/>
        </w:rPr>
        <w:t>ustavu</w:t>
      </w:r>
      <w:r w:rsidRPr="00104B20">
        <w:rPr>
          <w:rFonts w:ascii="Times New Roman" w:eastAsia="Times New Roman" w:hAnsi="Times New Roman" w:cs="Times New Roman"/>
          <w:lang w:val="pt-BR"/>
        </w:rPr>
        <w:t xml:space="preserve"> javnih nabav</w:t>
      </w:r>
      <w:r w:rsidR="00102699">
        <w:rPr>
          <w:rFonts w:ascii="Times New Roman" w:eastAsia="Times New Roman" w:hAnsi="Times New Roman" w:cs="Times New Roman"/>
          <w:lang w:val="pt-BR"/>
        </w:rPr>
        <w:t>a</w:t>
      </w:r>
      <w:r w:rsidRPr="00104B20">
        <w:rPr>
          <w:rFonts w:ascii="Times New Roman" w:eastAsia="Times New Roman" w:hAnsi="Times New Roman" w:cs="Times New Roman"/>
          <w:lang w:val="pt-BR"/>
        </w:rPr>
        <w:t>.</w:t>
      </w:r>
    </w:p>
    <w:p w14:paraId="1800175F" w14:textId="77777777" w:rsidR="00E274AC" w:rsidRPr="00104B20" w:rsidRDefault="00E274AC" w:rsidP="00E274AC">
      <w:pPr>
        <w:pStyle w:val="xmsonormal"/>
        <w:rPr>
          <w:rFonts w:ascii="Times New Roman" w:eastAsia="Times New Roman" w:hAnsi="Times New Roman" w:cs="Times New Roman"/>
          <w:lang w:val="pt-BR"/>
        </w:rPr>
      </w:pPr>
    </w:p>
    <w:p w14:paraId="5B0C7CB4" w14:textId="48116ECE" w:rsidR="00E274AC" w:rsidRPr="003B25AB" w:rsidRDefault="00E274AC" w:rsidP="00FB088F">
      <w:pPr>
        <w:pStyle w:val="xmsonormal"/>
        <w:numPr>
          <w:ilvl w:val="1"/>
          <w:numId w:val="94"/>
        </w:numPr>
        <w:rPr>
          <w:rFonts w:ascii="Times New Roman" w:hAnsi="Times New Roman" w:cs="Times New Roman"/>
          <w:lang w:val="pt-BR"/>
        </w:rPr>
      </w:pPr>
      <w:r w:rsidRPr="003B25AB">
        <w:rPr>
          <w:rFonts w:ascii="Times New Roman" w:hAnsi="Times New Roman" w:cs="Times New Roman"/>
          <w:b/>
          <w:bCs/>
          <w:lang w:val="pt-BR"/>
        </w:rPr>
        <w:t>Op</w:t>
      </w:r>
      <w:r w:rsidR="00102699">
        <w:rPr>
          <w:rFonts w:ascii="Times New Roman" w:hAnsi="Times New Roman" w:cs="Times New Roman"/>
          <w:b/>
          <w:bCs/>
          <w:lang w:val="pt-BR"/>
        </w:rPr>
        <w:t>ći</w:t>
      </w:r>
      <w:r w:rsidRPr="003B25AB">
        <w:rPr>
          <w:rFonts w:ascii="Times New Roman" w:hAnsi="Times New Roman" w:cs="Times New Roman"/>
          <w:b/>
          <w:bCs/>
          <w:lang w:val="pt-BR"/>
        </w:rPr>
        <w:t xml:space="preserve"> pregled s</w:t>
      </w:r>
      <w:r w:rsidR="00102699">
        <w:rPr>
          <w:rFonts w:ascii="Times New Roman" w:hAnsi="Times New Roman" w:cs="Times New Roman"/>
          <w:b/>
          <w:bCs/>
          <w:lang w:val="pt-BR"/>
        </w:rPr>
        <w:t>ustava</w:t>
      </w:r>
      <w:r w:rsidRPr="003B25AB">
        <w:rPr>
          <w:rFonts w:ascii="Times New Roman" w:hAnsi="Times New Roman" w:cs="Times New Roman"/>
          <w:b/>
          <w:bCs/>
          <w:lang w:val="pt-BR"/>
        </w:rPr>
        <w:t xml:space="preserve"> javn</w:t>
      </w:r>
      <w:r w:rsidR="002426E7">
        <w:rPr>
          <w:rFonts w:ascii="Times New Roman" w:hAnsi="Times New Roman" w:cs="Times New Roman"/>
          <w:b/>
          <w:bCs/>
          <w:lang w:val="pt-BR"/>
        </w:rPr>
        <w:t>e</w:t>
      </w:r>
      <w:r w:rsidRPr="003B25AB">
        <w:rPr>
          <w:rFonts w:ascii="Times New Roman" w:hAnsi="Times New Roman" w:cs="Times New Roman"/>
          <w:b/>
          <w:bCs/>
          <w:lang w:val="pt-BR"/>
        </w:rPr>
        <w:t xml:space="preserve"> nabav</w:t>
      </w:r>
      <w:r w:rsidR="002426E7">
        <w:rPr>
          <w:rFonts w:ascii="Times New Roman" w:hAnsi="Times New Roman" w:cs="Times New Roman"/>
          <w:b/>
          <w:bCs/>
          <w:lang w:val="pt-BR"/>
        </w:rPr>
        <w:t>e</w:t>
      </w:r>
      <w:r w:rsidRPr="003B25AB">
        <w:rPr>
          <w:rFonts w:ascii="Times New Roman" w:hAnsi="Times New Roman" w:cs="Times New Roman"/>
          <w:b/>
          <w:bCs/>
          <w:lang w:val="pt-BR"/>
        </w:rPr>
        <w:t xml:space="preserve"> u BiH</w:t>
      </w:r>
    </w:p>
    <w:p w14:paraId="04C74814" w14:textId="77777777" w:rsidR="00E274AC" w:rsidRPr="00104B20" w:rsidRDefault="00E274AC" w:rsidP="00E274AC">
      <w:pPr>
        <w:jc w:val="both"/>
        <w:rPr>
          <w:rFonts w:ascii="Times New Roman" w:hAnsi="Times New Roman" w:cs="Times New Roman"/>
          <w:lang w:val="pt-BR"/>
        </w:rPr>
      </w:pPr>
    </w:p>
    <w:p w14:paraId="1EF2D5A9" w14:textId="655BF8B1" w:rsidR="00E274AC" w:rsidRPr="00104B20" w:rsidRDefault="00E274AC" w:rsidP="00E274AC">
      <w:pPr>
        <w:jc w:val="both"/>
        <w:rPr>
          <w:rFonts w:ascii="Times New Roman" w:hAnsi="Times New Roman" w:cs="Times New Roman"/>
          <w:lang w:val="pt-BR"/>
        </w:rPr>
      </w:pPr>
      <w:r w:rsidRPr="00104B20">
        <w:rPr>
          <w:rFonts w:ascii="Times New Roman" w:hAnsi="Times New Roman" w:cs="Times New Roman"/>
          <w:lang w:val="pt-BR"/>
        </w:rPr>
        <w:t xml:space="preserve">Globalno posmatrano Bosna i Hercegovina je malo tržište i nesumnjivo je da takva tržišta nisu pretjerano zanimljiva </w:t>
      </w:r>
      <w:r w:rsidR="002426E7">
        <w:rPr>
          <w:rFonts w:ascii="Times New Roman" w:hAnsi="Times New Roman" w:cs="Times New Roman"/>
          <w:lang w:val="pt-BR"/>
        </w:rPr>
        <w:t>tvrtkama</w:t>
      </w:r>
      <w:r w:rsidRPr="00104B20">
        <w:rPr>
          <w:rFonts w:ascii="Times New Roman" w:hAnsi="Times New Roman" w:cs="Times New Roman"/>
          <w:lang w:val="pt-BR"/>
        </w:rPr>
        <w:t xml:space="preserve"> kako u </w:t>
      </w:r>
      <w:r w:rsidR="002426E7">
        <w:rPr>
          <w:rFonts w:ascii="Times New Roman" w:hAnsi="Times New Roman" w:cs="Times New Roman"/>
          <w:lang w:val="pt-BR"/>
        </w:rPr>
        <w:t>području</w:t>
      </w:r>
      <w:r w:rsidRPr="00104B20">
        <w:rPr>
          <w:rFonts w:ascii="Times New Roman" w:hAnsi="Times New Roman" w:cs="Times New Roman"/>
          <w:lang w:val="pt-BR"/>
        </w:rPr>
        <w:t xml:space="preserve"> javnih nabav</w:t>
      </w:r>
      <w:r w:rsidR="00102699">
        <w:rPr>
          <w:rFonts w:ascii="Times New Roman" w:hAnsi="Times New Roman" w:cs="Times New Roman"/>
          <w:lang w:val="pt-BR"/>
        </w:rPr>
        <w:t>a</w:t>
      </w:r>
      <w:r w:rsidRPr="00104B20">
        <w:rPr>
          <w:rFonts w:ascii="Times New Roman" w:hAnsi="Times New Roman" w:cs="Times New Roman"/>
          <w:lang w:val="pt-BR"/>
        </w:rPr>
        <w:t xml:space="preserve"> tako i drugih investicija. Stoga je u slučajevima nabav</w:t>
      </w:r>
      <w:r w:rsidR="00102699">
        <w:rPr>
          <w:rFonts w:ascii="Times New Roman" w:hAnsi="Times New Roman" w:cs="Times New Roman"/>
          <w:lang w:val="pt-BR"/>
        </w:rPr>
        <w:t xml:space="preserve">a </w:t>
      </w:r>
      <w:r w:rsidRPr="00104B20">
        <w:rPr>
          <w:rFonts w:ascii="Times New Roman" w:hAnsi="Times New Roman" w:cs="Times New Roman"/>
          <w:lang w:val="pt-BR"/>
        </w:rPr>
        <w:t>specifičnih i složenih roba, radova i usluga, za koje su kvalifi</w:t>
      </w:r>
      <w:r w:rsidR="00102699">
        <w:rPr>
          <w:rFonts w:ascii="Times New Roman" w:hAnsi="Times New Roman" w:cs="Times New Roman"/>
          <w:lang w:val="pt-BR"/>
        </w:rPr>
        <w:t>cirani</w:t>
      </w:r>
      <w:r w:rsidRPr="00104B20">
        <w:rPr>
          <w:rFonts w:ascii="Times New Roman" w:hAnsi="Times New Roman" w:cs="Times New Roman"/>
          <w:lang w:val="pt-BR"/>
        </w:rPr>
        <w:t xml:space="preserve"> samo rijetki ponu</w:t>
      </w:r>
      <w:r w:rsidR="002426E7">
        <w:rPr>
          <w:rFonts w:ascii="Times New Roman" w:hAnsi="Times New Roman" w:cs="Times New Roman"/>
          <w:lang w:val="pt-BR"/>
        </w:rPr>
        <w:t>ditelji</w:t>
      </w:r>
      <w:r w:rsidRPr="00104B20">
        <w:rPr>
          <w:rFonts w:ascii="Times New Roman" w:hAnsi="Times New Roman" w:cs="Times New Roman"/>
          <w:lang w:val="pt-BR"/>
        </w:rPr>
        <w:t>, opravdan nedostatak konkurencije, a često se d</w:t>
      </w:r>
      <w:r w:rsidR="00102699">
        <w:rPr>
          <w:rFonts w:ascii="Times New Roman" w:hAnsi="Times New Roman" w:cs="Times New Roman"/>
          <w:lang w:val="pt-BR"/>
        </w:rPr>
        <w:t>ogađa</w:t>
      </w:r>
      <w:r w:rsidRPr="00104B20">
        <w:rPr>
          <w:rFonts w:ascii="Times New Roman" w:hAnsi="Times New Roman" w:cs="Times New Roman"/>
          <w:lang w:val="pt-BR"/>
        </w:rPr>
        <w:t xml:space="preserve"> i da se postupci moraju poništiti jer niko od ponu</w:t>
      </w:r>
      <w:r w:rsidR="00102699">
        <w:rPr>
          <w:rFonts w:ascii="Times New Roman" w:hAnsi="Times New Roman" w:cs="Times New Roman"/>
          <w:lang w:val="pt-BR"/>
        </w:rPr>
        <w:t>ditelja</w:t>
      </w:r>
      <w:r w:rsidRPr="00104B20">
        <w:rPr>
          <w:rFonts w:ascii="Times New Roman" w:hAnsi="Times New Roman" w:cs="Times New Roman"/>
          <w:lang w:val="pt-BR"/>
        </w:rPr>
        <w:t xml:space="preserve"> nije dostavio ponudu.</w:t>
      </w:r>
    </w:p>
    <w:p w14:paraId="64FB852A" w14:textId="09A610C4" w:rsidR="00E274AC" w:rsidRPr="00104B20" w:rsidRDefault="00E274AC" w:rsidP="00E274AC">
      <w:pPr>
        <w:jc w:val="both"/>
        <w:rPr>
          <w:rFonts w:ascii="Times New Roman" w:hAnsi="Times New Roman" w:cs="Times New Roman"/>
          <w:lang w:val="pt-BR"/>
        </w:rPr>
      </w:pPr>
      <w:r w:rsidRPr="00104B20">
        <w:rPr>
          <w:rFonts w:ascii="Times New Roman" w:hAnsi="Times New Roman" w:cs="Times New Roman"/>
          <w:lang w:val="pt-BR"/>
        </w:rPr>
        <w:t>S druge strane imamo nabave kod kojih objektivno i najmanji ponu</w:t>
      </w:r>
      <w:r w:rsidR="00102699">
        <w:rPr>
          <w:rFonts w:ascii="Times New Roman" w:hAnsi="Times New Roman" w:cs="Times New Roman"/>
          <w:lang w:val="pt-BR"/>
        </w:rPr>
        <w:t>ditelj</w:t>
      </w:r>
      <w:r w:rsidRPr="00104B20">
        <w:rPr>
          <w:rFonts w:ascii="Times New Roman" w:hAnsi="Times New Roman" w:cs="Times New Roman"/>
          <w:lang w:val="pt-BR"/>
        </w:rPr>
        <w:t xml:space="preserve"> može ispuniti u</w:t>
      </w:r>
      <w:r w:rsidR="00102699">
        <w:rPr>
          <w:rFonts w:ascii="Times New Roman" w:hAnsi="Times New Roman" w:cs="Times New Roman"/>
          <w:lang w:val="pt-BR"/>
        </w:rPr>
        <w:t>vjete</w:t>
      </w:r>
      <w:r w:rsidRPr="00104B20">
        <w:rPr>
          <w:rFonts w:ascii="Times New Roman" w:hAnsi="Times New Roman" w:cs="Times New Roman"/>
          <w:lang w:val="pt-BR"/>
        </w:rPr>
        <w:t xml:space="preserve">, to su nabave roba kao što su prehrambeni proizvodi, higijenski proizvodi, alkoholna i bezalkoholna pića, </w:t>
      </w:r>
      <w:r w:rsidR="00102699">
        <w:rPr>
          <w:rFonts w:ascii="Times New Roman" w:hAnsi="Times New Roman" w:cs="Times New Roman"/>
          <w:lang w:val="pt-BR"/>
        </w:rPr>
        <w:t>uredski</w:t>
      </w:r>
      <w:r w:rsidRPr="00104B20">
        <w:rPr>
          <w:rFonts w:ascii="Times New Roman" w:hAnsi="Times New Roman" w:cs="Times New Roman"/>
          <w:lang w:val="pt-BR"/>
        </w:rPr>
        <w:t xml:space="preserve"> materijal i slično. Ipak, gotovo u pravilu d</w:t>
      </w:r>
      <w:r w:rsidR="002426E7">
        <w:rPr>
          <w:rFonts w:ascii="Times New Roman" w:hAnsi="Times New Roman" w:cs="Times New Roman"/>
          <w:lang w:val="pt-BR"/>
        </w:rPr>
        <w:t>ogađa</w:t>
      </w:r>
      <w:r w:rsidRPr="00104B20">
        <w:rPr>
          <w:rFonts w:ascii="Times New Roman" w:hAnsi="Times New Roman" w:cs="Times New Roman"/>
          <w:lang w:val="pt-BR"/>
        </w:rPr>
        <w:t xml:space="preserve"> se dostavljanje samo jedna ponude u ovim postupcima, te je evidentno da postoji opravdana sumnja u nedopuštene dogovore, odnosno koluziju koja narušava tržišnu konkurenciju.</w:t>
      </w:r>
    </w:p>
    <w:p w14:paraId="2030951F" w14:textId="77777777" w:rsidR="00E274AC" w:rsidRPr="00104B20" w:rsidRDefault="00E274AC" w:rsidP="00E274AC">
      <w:pPr>
        <w:jc w:val="both"/>
        <w:rPr>
          <w:rFonts w:ascii="Times New Roman" w:hAnsi="Times New Roman" w:cs="Times New Roman"/>
          <w:lang w:val="pt-BR"/>
        </w:rPr>
      </w:pPr>
      <w:r w:rsidRPr="00104B20">
        <w:rPr>
          <w:rFonts w:ascii="Times New Roman" w:hAnsi="Times New Roman" w:cs="Times New Roman"/>
          <w:lang w:val="pt-BR"/>
        </w:rPr>
        <w:t>U praksi su nedopušteni dogovori prepoznati u dva oblika:</w:t>
      </w:r>
    </w:p>
    <w:p w14:paraId="02D57938" w14:textId="74106823" w:rsidR="00E274AC" w:rsidRPr="00104B20" w:rsidRDefault="00E274AC" w:rsidP="00E274AC">
      <w:pPr>
        <w:pStyle w:val="ListParagraph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04B20">
        <w:rPr>
          <w:rFonts w:ascii="Times New Roman" w:hAnsi="Times New Roman" w:cs="Times New Roman"/>
        </w:rPr>
        <w:t>između</w:t>
      </w:r>
      <w:proofErr w:type="spellEnd"/>
      <w:r w:rsidRPr="00104B20">
        <w:rPr>
          <w:rFonts w:ascii="Times New Roman" w:hAnsi="Times New Roman" w:cs="Times New Roman"/>
        </w:rPr>
        <w:t xml:space="preserve"> </w:t>
      </w:r>
      <w:proofErr w:type="spellStart"/>
      <w:r w:rsidRPr="00104B20">
        <w:rPr>
          <w:rFonts w:ascii="Times New Roman" w:hAnsi="Times New Roman" w:cs="Times New Roman"/>
        </w:rPr>
        <w:t>ponu</w:t>
      </w:r>
      <w:r w:rsidR="00102699">
        <w:rPr>
          <w:rFonts w:ascii="Times New Roman" w:hAnsi="Times New Roman" w:cs="Times New Roman"/>
        </w:rPr>
        <w:t>ditelja</w:t>
      </w:r>
      <w:proofErr w:type="spellEnd"/>
      <w:r w:rsidRPr="00104B2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04B20">
        <w:rPr>
          <w:rFonts w:ascii="Times New Roman" w:hAnsi="Times New Roman" w:cs="Times New Roman"/>
        </w:rPr>
        <w:t>međusobno</w:t>
      </w:r>
      <w:proofErr w:type="spellEnd"/>
      <w:r w:rsidRPr="00104B20">
        <w:rPr>
          <w:rFonts w:ascii="Times New Roman" w:hAnsi="Times New Roman" w:cs="Times New Roman"/>
        </w:rPr>
        <w:t>;</w:t>
      </w:r>
      <w:proofErr w:type="gramEnd"/>
    </w:p>
    <w:p w14:paraId="5297FA3D" w14:textId="29762233" w:rsidR="00E274AC" w:rsidRPr="00104B20" w:rsidRDefault="00E274AC" w:rsidP="00E274AC">
      <w:pPr>
        <w:pStyle w:val="ListParagraph"/>
        <w:numPr>
          <w:ilvl w:val="0"/>
          <w:numId w:val="91"/>
        </w:numPr>
        <w:spacing w:line="276" w:lineRule="auto"/>
        <w:jc w:val="both"/>
        <w:rPr>
          <w:rFonts w:ascii="Times New Roman" w:hAnsi="Times New Roman" w:cs="Times New Roman"/>
          <w:lang w:val="pt-BR"/>
        </w:rPr>
      </w:pPr>
      <w:r w:rsidRPr="00104B20">
        <w:rPr>
          <w:rFonts w:ascii="Times New Roman" w:hAnsi="Times New Roman" w:cs="Times New Roman"/>
          <w:lang w:val="pt-BR"/>
        </w:rPr>
        <w:lastRenderedPageBreak/>
        <w:t xml:space="preserve">između ugovornih </w:t>
      </w:r>
      <w:r w:rsidR="00102699">
        <w:rPr>
          <w:rFonts w:ascii="Times New Roman" w:hAnsi="Times New Roman" w:cs="Times New Roman"/>
          <w:lang w:val="pt-BR"/>
        </w:rPr>
        <w:t>tijela</w:t>
      </w:r>
      <w:r w:rsidRPr="00104B20">
        <w:rPr>
          <w:rFonts w:ascii="Times New Roman" w:hAnsi="Times New Roman" w:cs="Times New Roman"/>
          <w:lang w:val="pt-BR"/>
        </w:rPr>
        <w:t xml:space="preserve"> i ponu</w:t>
      </w:r>
      <w:r w:rsidR="00102699">
        <w:rPr>
          <w:rFonts w:ascii="Times New Roman" w:hAnsi="Times New Roman" w:cs="Times New Roman"/>
          <w:lang w:val="pt-BR"/>
        </w:rPr>
        <w:t>ditelja</w:t>
      </w:r>
      <w:r w:rsidRPr="00104B20">
        <w:rPr>
          <w:rFonts w:ascii="Times New Roman" w:hAnsi="Times New Roman" w:cs="Times New Roman"/>
          <w:lang w:val="pt-BR"/>
        </w:rPr>
        <w:t>.</w:t>
      </w:r>
    </w:p>
    <w:p w14:paraId="2B67C60A" w14:textId="05876E63" w:rsidR="00E274AC" w:rsidRPr="00104B20" w:rsidRDefault="00E274AC" w:rsidP="00E274AC">
      <w:pPr>
        <w:jc w:val="both"/>
        <w:rPr>
          <w:rFonts w:ascii="Times New Roman" w:hAnsi="Times New Roman" w:cs="Times New Roman"/>
          <w:lang w:val="pt-BR"/>
        </w:rPr>
      </w:pPr>
      <w:r w:rsidRPr="00104B20">
        <w:rPr>
          <w:rFonts w:ascii="Times New Roman" w:hAnsi="Times New Roman" w:cs="Times New Roman"/>
          <w:lang w:val="pt-BR"/>
        </w:rPr>
        <w:t>Način izvršenja (modus operandi) za m</w:t>
      </w:r>
      <w:r w:rsidR="0021520D">
        <w:rPr>
          <w:rFonts w:ascii="Times New Roman" w:hAnsi="Times New Roman" w:cs="Times New Roman"/>
          <w:lang w:val="pt-BR"/>
        </w:rPr>
        <w:t>e</w:t>
      </w:r>
      <w:r w:rsidRPr="00104B20">
        <w:rPr>
          <w:rFonts w:ascii="Times New Roman" w:hAnsi="Times New Roman" w:cs="Times New Roman"/>
          <w:lang w:val="pt-BR"/>
        </w:rPr>
        <w:t>đusobne dogovore ponu</w:t>
      </w:r>
      <w:r w:rsidR="00102699">
        <w:rPr>
          <w:rFonts w:ascii="Times New Roman" w:hAnsi="Times New Roman" w:cs="Times New Roman"/>
          <w:lang w:val="pt-BR"/>
        </w:rPr>
        <w:t>ditelja</w:t>
      </w:r>
      <w:r w:rsidRPr="00104B20">
        <w:rPr>
          <w:rFonts w:ascii="Times New Roman" w:hAnsi="Times New Roman" w:cs="Times New Roman"/>
          <w:lang w:val="pt-BR"/>
        </w:rPr>
        <w:t xml:space="preserve"> je jednostavan, oni sklapaju neformalne dogovore oko toga da se jedni drugima ne miješaju u posao, da odustaju od e-Aukcija, da šalju prateće ponude, da se rotiraju na pozicijama pobjednika, da teritorijalno ili na drugi način dijele tržište, da jedni druge angažuju kao podizvođače i slično. </w:t>
      </w:r>
    </w:p>
    <w:p w14:paraId="472529E0" w14:textId="4CA034DF" w:rsidR="00E274AC" w:rsidRPr="00104B20" w:rsidRDefault="00E274AC" w:rsidP="00E274AC">
      <w:pPr>
        <w:jc w:val="both"/>
        <w:rPr>
          <w:rFonts w:ascii="Times New Roman" w:hAnsi="Times New Roman" w:cs="Times New Roman"/>
          <w:lang w:val="pt-BR"/>
        </w:rPr>
      </w:pPr>
      <w:r w:rsidRPr="00104B20">
        <w:rPr>
          <w:rFonts w:ascii="Times New Roman" w:hAnsi="Times New Roman" w:cs="Times New Roman"/>
          <w:lang w:val="pt-BR"/>
        </w:rPr>
        <w:t xml:space="preserve">Kod nedopuštenih dogovora ugovornih </w:t>
      </w:r>
      <w:r w:rsidR="00102699">
        <w:rPr>
          <w:rFonts w:ascii="Times New Roman" w:hAnsi="Times New Roman" w:cs="Times New Roman"/>
          <w:lang w:val="pt-BR"/>
        </w:rPr>
        <w:t>tijela</w:t>
      </w:r>
      <w:r w:rsidRPr="00104B20">
        <w:rPr>
          <w:rFonts w:ascii="Times New Roman" w:hAnsi="Times New Roman" w:cs="Times New Roman"/>
          <w:lang w:val="pt-BR"/>
        </w:rPr>
        <w:t xml:space="preserve"> i ponu</w:t>
      </w:r>
      <w:r w:rsidR="00102699">
        <w:rPr>
          <w:rFonts w:ascii="Times New Roman" w:hAnsi="Times New Roman" w:cs="Times New Roman"/>
          <w:lang w:val="pt-BR"/>
        </w:rPr>
        <w:t>ditelja</w:t>
      </w:r>
      <w:r w:rsidRPr="00104B20">
        <w:rPr>
          <w:rFonts w:ascii="Times New Roman" w:hAnsi="Times New Roman" w:cs="Times New Roman"/>
          <w:lang w:val="pt-BR"/>
        </w:rPr>
        <w:t xml:space="preserve"> izdvaja se komunikacija oko prilagođavanja u</w:t>
      </w:r>
      <w:r w:rsidR="00102699">
        <w:rPr>
          <w:rFonts w:ascii="Times New Roman" w:hAnsi="Times New Roman" w:cs="Times New Roman"/>
          <w:lang w:val="pt-BR"/>
        </w:rPr>
        <w:t>vjeta</w:t>
      </w:r>
      <w:r w:rsidRPr="00104B20">
        <w:rPr>
          <w:rFonts w:ascii="Times New Roman" w:hAnsi="Times New Roman" w:cs="Times New Roman"/>
          <w:lang w:val="pt-BR"/>
        </w:rPr>
        <w:t xml:space="preserve"> za kvalif</w:t>
      </w:r>
      <w:r w:rsidR="00102699">
        <w:rPr>
          <w:rFonts w:ascii="Times New Roman" w:hAnsi="Times New Roman" w:cs="Times New Roman"/>
          <w:lang w:val="pt-BR"/>
        </w:rPr>
        <w:t>ikaciju</w:t>
      </w:r>
      <w:r w:rsidRPr="00104B20">
        <w:rPr>
          <w:rFonts w:ascii="Times New Roman" w:hAnsi="Times New Roman" w:cs="Times New Roman"/>
          <w:lang w:val="pt-BR"/>
        </w:rPr>
        <w:t xml:space="preserve"> ponu</w:t>
      </w:r>
      <w:r w:rsidR="00102699">
        <w:rPr>
          <w:rFonts w:ascii="Times New Roman" w:hAnsi="Times New Roman" w:cs="Times New Roman"/>
          <w:lang w:val="pt-BR"/>
        </w:rPr>
        <w:t>ditelja</w:t>
      </w:r>
      <w:r w:rsidRPr="00104B20">
        <w:rPr>
          <w:rFonts w:ascii="Times New Roman" w:hAnsi="Times New Roman" w:cs="Times New Roman"/>
          <w:lang w:val="pt-BR"/>
        </w:rPr>
        <w:t xml:space="preserve"> i tehničkih specifikacija. Takođe</w:t>
      </w:r>
      <w:r w:rsidR="00B54D24">
        <w:rPr>
          <w:rFonts w:ascii="Times New Roman" w:hAnsi="Times New Roman" w:cs="Times New Roman"/>
          <w:lang w:val="pt-BR"/>
        </w:rPr>
        <w:t>r</w:t>
      </w:r>
      <w:r w:rsidRPr="00104B20">
        <w:rPr>
          <w:rFonts w:ascii="Times New Roman" w:hAnsi="Times New Roman" w:cs="Times New Roman"/>
          <w:lang w:val="pt-BR"/>
        </w:rPr>
        <w:t>, u praksi je zastupljeno i informi</w:t>
      </w:r>
      <w:r w:rsidR="00102699">
        <w:rPr>
          <w:rFonts w:ascii="Times New Roman" w:hAnsi="Times New Roman" w:cs="Times New Roman"/>
          <w:lang w:val="pt-BR"/>
        </w:rPr>
        <w:t>r</w:t>
      </w:r>
      <w:r w:rsidRPr="00104B20">
        <w:rPr>
          <w:rFonts w:ascii="Times New Roman" w:hAnsi="Times New Roman" w:cs="Times New Roman"/>
          <w:lang w:val="pt-BR"/>
        </w:rPr>
        <w:t>anje ponu</w:t>
      </w:r>
      <w:r w:rsidR="00102699">
        <w:rPr>
          <w:rFonts w:ascii="Times New Roman" w:hAnsi="Times New Roman" w:cs="Times New Roman"/>
          <w:lang w:val="pt-BR"/>
        </w:rPr>
        <w:t>ditelja</w:t>
      </w:r>
      <w:r w:rsidRPr="00104B20">
        <w:rPr>
          <w:rFonts w:ascii="Times New Roman" w:hAnsi="Times New Roman" w:cs="Times New Roman"/>
          <w:lang w:val="pt-BR"/>
        </w:rPr>
        <w:t xml:space="preserve"> kome je ugovor namijenjen od strane ugovornog </w:t>
      </w:r>
      <w:r w:rsidR="002426E7">
        <w:rPr>
          <w:rFonts w:ascii="Times New Roman" w:hAnsi="Times New Roman" w:cs="Times New Roman"/>
          <w:lang w:val="pt-BR"/>
        </w:rPr>
        <w:t>tijela</w:t>
      </w:r>
      <w:r w:rsidRPr="00104B20">
        <w:rPr>
          <w:rFonts w:ascii="Times New Roman" w:hAnsi="Times New Roman" w:cs="Times New Roman"/>
          <w:lang w:val="pt-BR"/>
        </w:rPr>
        <w:t xml:space="preserve"> u pogledu toga ko je sve preuzeo tendersku dokumentaciju, kako bi ponu</w:t>
      </w:r>
      <w:r w:rsidR="002426E7">
        <w:rPr>
          <w:rFonts w:ascii="Times New Roman" w:hAnsi="Times New Roman" w:cs="Times New Roman"/>
          <w:lang w:val="pt-BR"/>
        </w:rPr>
        <w:t>ditelj</w:t>
      </w:r>
      <w:r w:rsidRPr="00104B20">
        <w:rPr>
          <w:rFonts w:ascii="Times New Roman" w:hAnsi="Times New Roman" w:cs="Times New Roman"/>
          <w:lang w:val="pt-BR"/>
        </w:rPr>
        <w:t xml:space="preserve"> dalje mogao komunicirati sa konkurencijom oko toga da ne dostavljaju ponude ili da se na neki drugi način dogovore.</w:t>
      </w:r>
    </w:p>
    <w:p w14:paraId="77C451B6" w14:textId="72E86A38" w:rsidR="00E274AC" w:rsidRPr="00104B20" w:rsidRDefault="00FB088F" w:rsidP="00E274AC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3B25AB">
        <w:rPr>
          <w:rFonts w:ascii="Times New Roman" w:hAnsi="Times New Roman" w:cs="Times New Roman"/>
          <w:b/>
          <w:bCs/>
          <w:lang w:val="pt-BR"/>
        </w:rPr>
        <w:t>1.2.</w:t>
      </w:r>
      <w:r w:rsidR="00E274AC" w:rsidRPr="003B25AB">
        <w:rPr>
          <w:rFonts w:ascii="Times New Roman" w:hAnsi="Times New Roman" w:cs="Times New Roman"/>
          <w:b/>
          <w:bCs/>
          <w:lang w:val="pt-BR"/>
        </w:rPr>
        <w:t xml:space="preserve"> Normativni i institucionalni okvir</w:t>
      </w:r>
    </w:p>
    <w:p w14:paraId="417F9D11" w14:textId="51654D26" w:rsidR="00E274AC" w:rsidRPr="00104B20" w:rsidRDefault="00E274AC" w:rsidP="00E274AC">
      <w:pPr>
        <w:pStyle w:val="NormalWeb"/>
        <w:jc w:val="both"/>
        <w:rPr>
          <w:lang w:val="pt-BR"/>
        </w:rPr>
      </w:pPr>
      <w:r w:rsidRPr="00104B20">
        <w:rPr>
          <w:lang w:val="pt-BR"/>
        </w:rPr>
        <w:t>Normativni i institucionalni okvir javnih nabav</w:t>
      </w:r>
      <w:r w:rsidR="002426E7">
        <w:rPr>
          <w:lang w:val="pt-BR"/>
        </w:rPr>
        <w:t>a</w:t>
      </w:r>
      <w:r w:rsidRPr="00104B20">
        <w:rPr>
          <w:lang w:val="pt-BR"/>
        </w:rPr>
        <w:t xml:space="preserve"> u BiH s</w:t>
      </w:r>
      <w:r w:rsidR="002426E7">
        <w:rPr>
          <w:lang w:val="pt-BR"/>
        </w:rPr>
        <w:t>ustav</w:t>
      </w:r>
      <w:r w:rsidRPr="00104B20">
        <w:rPr>
          <w:lang w:val="pt-BR"/>
        </w:rPr>
        <w:t xml:space="preserve"> je sa snažnim formalnim pravilima, ali složenom institucionalnom strukturom koja može uticati na neujednačenu praksu i različite </w:t>
      </w:r>
      <w:r w:rsidR="002426E7">
        <w:rPr>
          <w:lang w:val="pt-BR"/>
        </w:rPr>
        <w:t>razine</w:t>
      </w:r>
      <w:r w:rsidRPr="00104B20">
        <w:rPr>
          <w:lang w:val="pt-BR"/>
        </w:rPr>
        <w:t xml:space="preserve"> tržišne otvorenosti. Postojeći pravni okvir pruža </w:t>
      </w:r>
      <w:r w:rsidR="00E760F4">
        <w:rPr>
          <w:lang w:val="pt-BR"/>
        </w:rPr>
        <w:t xml:space="preserve">odgovarajuće </w:t>
      </w:r>
      <w:r w:rsidRPr="00104B20">
        <w:rPr>
          <w:lang w:val="pt-BR"/>
        </w:rPr>
        <w:t xml:space="preserve">osnove za konkurentne procese, ali </w:t>
      </w:r>
      <w:r w:rsidR="00010074">
        <w:rPr>
          <w:lang w:val="pt-BR"/>
        </w:rPr>
        <w:t>učinkovitost</w:t>
      </w:r>
      <w:r w:rsidRPr="00104B20">
        <w:rPr>
          <w:lang w:val="pt-BR"/>
        </w:rPr>
        <w:t xml:space="preserve"> u praksi zavisi od:</w:t>
      </w:r>
    </w:p>
    <w:p w14:paraId="57B96905" w14:textId="527BC5AC" w:rsidR="00E274AC" w:rsidRPr="00104B20" w:rsidRDefault="00E274AC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104B20">
        <w:rPr>
          <w:rFonts w:ascii="Times New Roman" w:eastAsia="Times New Roman" w:hAnsi="Times New Roman" w:cs="Times New Roman"/>
          <w14:ligatures w14:val="none"/>
        </w:rPr>
        <w:t>kapaciteta</w:t>
      </w:r>
      <w:proofErr w:type="spellEnd"/>
      <w:r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proofErr w:type="spellStart"/>
      <w:r w:rsidRPr="00104B20">
        <w:rPr>
          <w:rFonts w:ascii="Times New Roman" w:eastAsia="Times New Roman" w:hAnsi="Times New Roman" w:cs="Times New Roman"/>
          <w14:ligatures w14:val="none"/>
        </w:rPr>
        <w:t>ugovornih</w:t>
      </w:r>
      <w:proofErr w:type="spellEnd"/>
      <w:r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proofErr w:type="spellStart"/>
      <w:r w:rsidR="002426E7">
        <w:rPr>
          <w:rFonts w:ascii="Times New Roman" w:eastAsia="Times New Roman" w:hAnsi="Times New Roman" w:cs="Times New Roman"/>
          <w14:ligatures w14:val="none"/>
        </w:rPr>
        <w:t>tijela</w:t>
      </w:r>
      <w:proofErr w:type="spellEnd"/>
      <w:r w:rsidRPr="00104B20">
        <w:rPr>
          <w:rFonts w:ascii="Times New Roman" w:eastAsia="Times New Roman" w:hAnsi="Times New Roman" w:cs="Times New Roman"/>
          <w14:ligatures w14:val="none"/>
        </w:rPr>
        <w:t>,</w:t>
      </w:r>
    </w:p>
    <w:p w14:paraId="7EFEC878" w14:textId="6C012A4B" w:rsidR="00E274AC" w:rsidRPr="00104B20" w:rsidRDefault="00E274AC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lang w:val="pt-BR"/>
          <w14:ligatures w14:val="none"/>
        </w:rPr>
        <w:t>kvaliteta nadzora i žalbenog s</w:t>
      </w:r>
      <w:r w:rsidR="002426E7">
        <w:rPr>
          <w:rFonts w:ascii="Times New Roman" w:eastAsia="Times New Roman" w:hAnsi="Times New Roman" w:cs="Times New Roman"/>
          <w:lang w:val="pt-BR"/>
          <w14:ligatures w14:val="none"/>
        </w:rPr>
        <w:t>ustava</w:t>
      </w:r>
      <w:r w:rsidRPr="00104B20">
        <w:rPr>
          <w:rFonts w:ascii="Times New Roman" w:eastAsia="Times New Roman" w:hAnsi="Times New Roman" w:cs="Times New Roman"/>
          <w:lang w:val="pt-BR"/>
          <w14:ligatures w14:val="none"/>
        </w:rPr>
        <w:t>,</w:t>
      </w:r>
    </w:p>
    <w:p w14:paraId="0F5D93C4" w14:textId="77777777" w:rsidR="00E274AC" w:rsidRPr="00104B20" w:rsidRDefault="00E274AC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104B20">
        <w:rPr>
          <w:rFonts w:ascii="Times New Roman" w:eastAsia="Times New Roman" w:hAnsi="Times New Roman" w:cs="Times New Roman"/>
          <w14:ligatures w14:val="none"/>
        </w:rPr>
        <w:t>profesionalizacije</w:t>
      </w:r>
      <w:proofErr w:type="spellEnd"/>
      <w:r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proofErr w:type="spellStart"/>
      <w:r w:rsidRPr="00104B20">
        <w:rPr>
          <w:rFonts w:ascii="Times New Roman" w:eastAsia="Times New Roman" w:hAnsi="Times New Roman" w:cs="Times New Roman"/>
          <w14:ligatures w14:val="none"/>
        </w:rPr>
        <w:t>tržišnih</w:t>
      </w:r>
      <w:proofErr w:type="spellEnd"/>
      <w:r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proofErr w:type="spellStart"/>
      <w:r w:rsidRPr="00104B20">
        <w:rPr>
          <w:rFonts w:ascii="Times New Roman" w:eastAsia="Times New Roman" w:hAnsi="Times New Roman" w:cs="Times New Roman"/>
          <w14:ligatures w14:val="none"/>
        </w:rPr>
        <w:t>aktera</w:t>
      </w:r>
      <w:proofErr w:type="spellEnd"/>
      <w:r w:rsidRPr="00104B20">
        <w:rPr>
          <w:rFonts w:ascii="Times New Roman" w:eastAsia="Times New Roman" w:hAnsi="Times New Roman" w:cs="Times New Roman"/>
          <w14:ligatures w14:val="none"/>
        </w:rPr>
        <w:t>,</w:t>
      </w:r>
    </w:p>
    <w:p w14:paraId="13FA7689" w14:textId="2FB4F304" w:rsidR="00E274AC" w:rsidRPr="00104B20" w:rsidRDefault="00010074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14:ligatures w14:val="none"/>
        </w:rPr>
        <w:t>učinkovitost</w:t>
      </w:r>
      <w:proofErr w:type="spellEnd"/>
      <w:r w:rsidR="00E274AC" w:rsidRPr="00104B20">
        <w:rPr>
          <w:rFonts w:ascii="Times New Roman" w:eastAsia="Times New Roman" w:hAnsi="Times New Roman" w:cs="Times New Roman"/>
          <w14:ligatures w14:val="none"/>
        </w:rPr>
        <w:t xml:space="preserve"> e-</w:t>
      </w:r>
      <w:proofErr w:type="spellStart"/>
      <w:r w:rsidR="00E274AC" w:rsidRPr="00104B20">
        <w:rPr>
          <w:rFonts w:ascii="Times New Roman" w:eastAsia="Times New Roman" w:hAnsi="Times New Roman" w:cs="Times New Roman"/>
          <w14:ligatures w14:val="none"/>
        </w:rPr>
        <w:t>nabav</w:t>
      </w:r>
      <w:r w:rsidR="002426E7">
        <w:rPr>
          <w:rFonts w:ascii="Times New Roman" w:eastAsia="Times New Roman" w:hAnsi="Times New Roman" w:cs="Times New Roman"/>
          <w14:ligatures w14:val="none"/>
        </w:rPr>
        <w:t>e</w:t>
      </w:r>
      <w:proofErr w:type="spellEnd"/>
      <w:r w:rsidR="00E274AC" w:rsidRPr="00104B20">
        <w:rPr>
          <w:rFonts w:ascii="Times New Roman" w:eastAsia="Times New Roman" w:hAnsi="Times New Roman" w:cs="Times New Roman"/>
          <w14:ligatures w14:val="none"/>
        </w:rPr>
        <w:t>,</w:t>
      </w:r>
    </w:p>
    <w:p w14:paraId="0AA21F51" w14:textId="77777777" w:rsidR="00E274AC" w:rsidRPr="00104B20" w:rsidRDefault="00E274AC" w:rsidP="00E274AC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14:ligatures w14:val="none"/>
        </w:rPr>
      </w:pPr>
      <w:r w:rsidRPr="00104B20">
        <w:rPr>
          <w:rFonts w:ascii="Times New Roman" w:eastAsia="Times New Roman" w:hAnsi="Times New Roman" w:cs="Times New Roman"/>
          <w14:ligatures w14:val="none"/>
        </w:rPr>
        <w:t xml:space="preserve">i </w:t>
      </w:r>
      <w:proofErr w:type="spellStart"/>
      <w:r w:rsidRPr="00104B20">
        <w:rPr>
          <w:rFonts w:ascii="Times New Roman" w:eastAsia="Times New Roman" w:hAnsi="Times New Roman" w:cs="Times New Roman"/>
          <w14:ligatures w14:val="none"/>
        </w:rPr>
        <w:t>koordinacije</w:t>
      </w:r>
      <w:proofErr w:type="spellEnd"/>
      <w:r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proofErr w:type="spellStart"/>
      <w:r w:rsidRPr="00104B20">
        <w:rPr>
          <w:rFonts w:ascii="Times New Roman" w:eastAsia="Times New Roman" w:hAnsi="Times New Roman" w:cs="Times New Roman"/>
          <w14:ligatures w14:val="none"/>
        </w:rPr>
        <w:t>među</w:t>
      </w:r>
      <w:proofErr w:type="spellEnd"/>
      <w:r w:rsidRPr="00104B20">
        <w:rPr>
          <w:rFonts w:ascii="Times New Roman" w:eastAsia="Times New Roman" w:hAnsi="Times New Roman" w:cs="Times New Roman"/>
          <w14:ligatures w14:val="none"/>
        </w:rPr>
        <w:t xml:space="preserve"> </w:t>
      </w:r>
      <w:proofErr w:type="spellStart"/>
      <w:r w:rsidRPr="00104B20">
        <w:rPr>
          <w:rFonts w:ascii="Times New Roman" w:eastAsia="Times New Roman" w:hAnsi="Times New Roman" w:cs="Times New Roman"/>
          <w14:ligatures w14:val="none"/>
        </w:rPr>
        <w:t>institucijama</w:t>
      </w:r>
      <w:proofErr w:type="spellEnd"/>
      <w:r w:rsidRPr="00104B20">
        <w:rPr>
          <w:rFonts w:ascii="Times New Roman" w:eastAsia="Times New Roman" w:hAnsi="Times New Roman" w:cs="Times New Roman"/>
          <w14:ligatures w14:val="none"/>
        </w:rPr>
        <w:t>.</w:t>
      </w:r>
    </w:p>
    <w:p w14:paraId="4208D35B" w14:textId="6F8BA80F" w:rsidR="0021204D" w:rsidRPr="00104B20" w:rsidRDefault="00E274AC" w:rsidP="00E274AC">
      <w:pPr>
        <w:pStyle w:val="NormalWeb"/>
        <w:jc w:val="both"/>
      </w:pPr>
      <w:r w:rsidRPr="00104B20">
        <w:t xml:space="preserve">Ovo </w:t>
      </w:r>
      <w:proofErr w:type="spellStart"/>
      <w:proofErr w:type="gramStart"/>
      <w:r w:rsidRPr="00104B20">
        <w:t>analiza</w:t>
      </w:r>
      <w:proofErr w:type="spellEnd"/>
      <w:r w:rsidRPr="00104B20">
        <w:t xml:space="preserve">  </w:t>
      </w:r>
      <w:proofErr w:type="spellStart"/>
      <w:r w:rsidRPr="00104B20">
        <w:t>predstavlja</w:t>
      </w:r>
      <w:proofErr w:type="spellEnd"/>
      <w:proofErr w:type="gramEnd"/>
      <w:r w:rsidRPr="00104B20">
        <w:t xml:space="preserve"> </w:t>
      </w:r>
      <w:proofErr w:type="spellStart"/>
      <w:r w:rsidR="00541E8F" w:rsidRPr="00104B20">
        <w:t>osnov</w:t>
      </w:r>
      <w:proofErr w:type="spellEnd"/>
      <w:r w:rsidR="00541E8F" w:rsidRPr="00104B20">
        <w:t xml:space="preserve"> za</w:t>
      </w:r>
      <w:r w:rsidRPr="00104B20">
        <w:t xml:space="preserve"> </w:t>
      </w:r>
      <w:proofErr w:type="spellStart"/>
      <w:r w:rsidRPr="00104B20">
        <w:t>razumijevanje</w:t>
      </w:r>
      <w:proofErr w:type="spellEnd"/>
      <w:r w:rsidRPr="00104B20">
        <w:t xml:space="preserve"> </w:t>
      </w:r>
      <w:proofErr w:type="spellStart"/>
      <w:r w:rsidR="00010074">
        <w:t>čimbenika</w:t>
      </w:r>
      <w:proofErr w:type="spellEnd"/>
      <w:r w:rsidRPr="00104B20">
        <w:t xml:space="preserve"> koji </w:t>
      </w:r>
      <w:proofErr w:type="spellStart"/>
      <w:r w:rsidRPr="00104B20">
        <w:t>utiču</w:t>
      </w:r>
      <w:proofErr w:type="spellEnd"/>
      <w:r w:rsidRPr="00104B20">
        <w:t xml:space="preserve"> </w:t>
      </w:r>
      <w:proofErr w:type="spellStart"/>
      <w:r w:rsidRPr="00104B20">
        <w:t>na</w:t>
      </w:r>
      <w:proofErr w:type="spellEnd"/>
      <w:r w:rsidRPr="00104B20">
        <w:t xml:space="preserve"> </w:t>
      </w:r>
      <w:proofErr w:type="spellStart"/>
      <w:r w:rsidRPr="00104B20">
        <w:t>konkurenciju</w:t>
      </w:r>
      <w:proofErr w:type="spellEnd"/>
      <w:r w:rsidRPr="00104B20">
        <w:t xml:space="preserve"> i </w:t>
      </w:r>
      <w:proofErr w:type="spellStart"/>
      <w:r w:rsidRPr="00104B20">
        <w:t>tržišnu</w:t>
      </w:r>
      <w:proofErr w:type="spellEnd"/>
      <w:r w:rsidRPr="00104B20">
        <w:t xml:space="preserve"> </w:t>
      </w:r>
      <w:proofErr w:type="spellStart"/>
      <w:r w:rsidRPr="00104B20">
        <w:t>dinamiku</w:t>
      </w:r>
      <w:proofErr w:type="spellEnd"/>
      <w:r w:rsidRPr="00104B20">
        <w:t xml:space="preserve"> u </w:t>
      </w:r>
      <w:proofErr w:type="spellStart"/>
      <w:r w:rsidRPr="00104B20">
        <w:t>narednim</w:t>
      </w:r>
      <w:proofErr w:type="spellEnd"/>
      <w:r w:rsidRPr="00104B20">
        <w:t xml:space="preserve"> </w:t>
      </w:r>
      <w:proofErr w:type="spellStart"/>
      <w:r w:rsidRPr="00104B20">
        <w:t>dijelovima</w:t>
      </w:r>
      <w:proofErr w:type="spellEnd"/>
      <w:r w:rsidRPr="00104B20">
        <w:t xml:space="preserve"> </w:t>
      </w:r>
      <w:proofErr w:type="spellStart"/>
      <w:r w:rsidRPr="00104B20">
        <w:t>analize</w:t>
      </w:r>
      <w:proofErr w:type="spellEnd"/>
      <w:r w:rsidRPr="00104B20">
        <w:t>.</w:t>
      </w:r>
    </w:p>
    <w:p w14:paraId="635D0BA9" w14:textId="4DA11B8A" w:rsidR="00FB088F" w:rsidRPr="00DF1112" w:rsidRDefault="00FB088F" w:rsidP="00FB088F">
      <w:pPr>
        <w:pStyle w:val="ListParagraph"/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Izvori podataka</w:t>
      </w:r>
      <w:r w:rsidRPr="00DF111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21A233DA" w14:textId="1DC9D780" w:rsidR="000D6761" w:rsidRPr="00104B20" w:rsidRDefault="000D6761" w:rsidP="000D6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Analiza se temelji na sljedećim primarnim i sekundarnim izvorima podataka:</w:t>
      </w:r>
    </w:p>
    <w:p w14:paraId="66ABF4A8" w14:textId="6E76E660" w:rsidR="000D6761" w:rsidRPr="00104B20" w:rsidRDefault="000D6761" w:rsidP="000D676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Portal javnih nabav</w:t>
      </w:r>
      <w:r w:rsidR="00541E8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</w:t>
      </w:r>
      <w:r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(e-nabave)</w:t>
      </w: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6DD5AF4A" w14:textId="419EAB83" w:rsidR="000D6761" w:rsidRPr="00104B20" w:rsidRDefault="000D6761" w:rsidP="000D676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Godišnji izvještaji Agencije za javne nabave BiH</w:t>
      </w: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</w:t>
      </w:r>
    </w:p>
    <w:p w14:paraId="671E44FF" w14:textId="0F49D902" w:rsidR="00104B20" w:rsidRPr="00104B20" w:rsidRDefault="000D6761" w:rsidP="00104B20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Eksterni izvori</w:t>
      </w: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</w:p>
    <w:p w14:paraId="1359C097" w14:textId="18148AD1" w:rsidR="000D6761" w:rsidRPr="00104B20" w:rsidRDefault="000D6761" w:rsidP="00104B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04B2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Korištenje više izvora omogućava triangulaciju podataka i smanjuje rizik od interpretativnih pristrasnosti.</w:t>
      </w:r>
    </w:p>
    <w:p w14:paraId="6F04AE5E" w14:textId="77777777" w:rsidR="000D6761" w:rsidRPr="000D6761" w:rsidRDefault="000D6761" w:rsidP="00E274AC">
      <w:pPr>
        <w:pStyle w:val="NormalWeb"/>
        <w:jc w:val="both"/>
        <w:rPr>
          <w:lang w:val="pt-BR"/>
        </w:rPr>
      </w:pPr>
    </w:p>
    <w:p w14:paraId="67A11A01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8A66D0">
          <v:rect id="_x0000_i1025" style="width:0;height:1.5pt" o:hralign="center" o:hrstd="t" o:hr="t" fillcolor="#a0a0a0" stroked="f"/>
        </w:pict>
      </w:r>
    </w:p>
    <w:p w14:paraId="2A6F914D" w14:textId="77777777" w:rsidR="0021204D" w:rsidRPr="00DF1112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</w:pPr>
      <w:r w:rsidRPr="00DF111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lastRenderedPageBreak/>
        <w:t>2. Konkurencija u 2022. godini</w:t>
      </w:r>
    </w:p>
    <w:p w14:paraId="1525F0E5" w14:textId="77777777" w:rsidR="0021204D" w:rsidRPr="00DF1112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DF1112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2.1. Broj i struktura ponuda prema vrstama postupaka i vrijednosnim razredima</w:t>
      </w:r>
    </w:p>
    <w:p w14:paraId="6B974453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Prosječni broj ponuda u 2022. godini iznosio je:</w:t>
      </w:r>
    </w:p>
    <w:p w14:paraId="25251AC4" w14:textId="77777777" w:rsidR="0021204D" w:rsidRPr="0021204D" w:rsidRDefault="0021204D" w:rsidP="00212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2,14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primljenih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po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B80995D" w14:textId="77777777" w:rsidR="0021204D" w:rsidRDefault="0021204D" w:rsidP="002120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1,93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prihvatljive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5680A2" w14:textId="1A917E9A" w:rsidR="0083107B" w:rsidRPr="0021204D" w:rsidRDefault="0083107B" w:rsidP="00831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5AB292D1" wp14:editId="4A3FC7ED">
            <wp:extent cx="5931535" cy="2858530"/>
            <wp:effectExtent l="0" t="0" r="12065" b="18415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F883531" w14:textId="6F2008DA" w:rsid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To je donja granica za “pristojnu” konkurenciju, ali daleko ispod </w:t>
      </w:r>
      <w:r w:rsidR="000100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koj</w:t>
      </w:r>
      <w:r w:rsidR="000100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se smatra zdravim (3+ ponude).</w:t>
      </w:r>
    </w:p>
    <w:p w14:paraId="176D5951" w14:textId="77777777" w:rsid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a) Poglavlje I – Visoka vrijednost, ograničena konkurencija</w:t>
      </w:r>
    </w:p>
    <w:p w14:paraId="3B50EAE1" w14:textId="77777777" w:rsidR="0083107B" w:rsidRPr="0021204D" w:rsidRDefault="0083107B" w:rsidP="008310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Poglavlje I nosi oko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83,93% ukupne vrijednosti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(3,70 mlrd KM) i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26,46% broja ugovora (57.169)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957"/>
        <w:gridCol w:w="2595"/>
        <w:gridCol w:w="1716"/>
        <w:gridCol w:w="1899"/>
        <w:gridCol w:w="2103"/>
      </w:tblGrid>
      <w:tr w:rsidR="002B0726" w:rsidRPr="009A7BFF" w14:paraId="1F9225FC" w14:textId="77777777" w:rsidTr="00067A3D">
        <w:trPr>
          <w:trHeight w:val="293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A7186F" w14:textId="77777777" w:rsidR="002B0726" w:rsidRPr="00E274AC" w:rsidRDefault="002B0726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t-BR"/>
              </w:rPr>
            </w:pPr>
            <w:r w:rsidRPr="00E274AC">
              <w:rPr>
                <w:rFonts w:ascii="Times New Roman" w:hAnsi="Times New Roman" w:cs="Times New Roman"/>
                <w:color w:val="000000"/>
                <w:sz w:val="18"/>
                <w:szCs w:val="18"/>
                <w:lang w:val="pt-BR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8610898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Poglavlje</w:t>
            </w:r>
            <w:proofErr w:type="spellEnd"/>
            <w:r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D937C22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Poglavlje</w:t>
            </w:r>
            <w:proofErr w:type="spellEnd"/>
            <w:r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E0DFC6D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Aneks</w:t>
            </w:r>
            <w:proofErr w:type="spellEnd"/>
            <w:r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999E279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Ukupno</w:t>
            </w:r>
            <w:proofErr w:type="spellEnd"/>
            <w:r w:rsidRPr="0083107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KM</w:t>
            </w:r>
          </w:p>
        </w:tc>
      </w:tr>
      <w:tr w:rsidR="002B0726" w:rsidRPr="009A7BFF" w14:paraId="77B14D6F" w14:textId="77777777" w:rsidTr="00E0702C">
        <w:trPr>
          <w:trHeight w:val="64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C7E8EC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KM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43F7E4D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3.701.675.680,72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2DD1E46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341.250.763,05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DF3627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367.315.050,73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92D3E07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4.410.241.494,50</w:t>
            </w:r>
          </w:p>
        </w:tc>
      </w:tr>
      <w:tr w:rsidR="002B0726" w:rsidRPr="009A7BFF" w14:paraId="61471564" w14:textId="77777777" w:rsidTr="00E0702C">
        <w:trPr>
          <w:trHeight w:val="54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492AF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C2B0D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83.93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C65A4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7.74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D42F33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8.33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3A393" w14:textId="77777777" w:rsidR="002B0726" w:rsidRPr="0083107B" w:rsidRDefault="002B0726" w:rsidP="00E070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</w:t>
            </w:r>
          </w:p>
        </w:tc>
      </w:tr>
    </w:tbl>
    <w:p w14:paraId="25232289" w14:textId="4FF0B397" w:rsidR="00E41BB3" w:rsidRDefault="00E41BB3" w:rsidP="00E41B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noProof/>
        </w:rPr>
        <w:lastRenderedPageBreak/>
        <w:drawing>
          <wp:inline distT="0" distB="0" distL="0" distR="0" wp14:anchorId="60268F2E" wp14:editId="1C90B34C">
            <wp:extent cx="4849026" cy="2027555"/>
            <wp:effectExtent l="0" t="0" r="8890" b="1079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57C6E11" w14:textId="77777777" w:rsidR="00747F81" w:rsidRDefault="00747F81" w:rsidP="00E41B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2070"/>
        <w:gridCol w:w="2160"/>
        <w:gridCol w:w="2430"/>
        <w:gridCol w:w="1530"/>
      </w:tblGrid>
      <w:tr w:rsidR="00747F81" w:rsidRPr="001F2F7B" w14:paraId="57026FB0" w14:textId="77777777" w:rsidTr="00E0702C">
        <w:trPr>
          <w:jc w:val="center"/>
        </w:trPr>
        <w:tc>
          <w:tcPr>
            <w:tcW w:w="9270" w:type="dxa"/>
            <w:gridSpan w:val="5"/>
            <w:shd w:val="clear" w:color="auto" w:fill="FFFF00"/>
          </w:tcPr>
          <w:p w14:paraId="3EAEE7E1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sz w:val="18"/>
                <w:szCs w:val="18"/>
              </w:rPr>
              <w:t>Ukupni broj zaključenih i dodijeljenih ugovora u 2022. godini</w:t>
            </w:r>
          </w:p>
        </w:tc>
      </w:tr>
      <w:tr w:rsidR="00747F81" w:rsidRPr="007628BE" w14:paraId="273C5849" w14:textId="77777777" w:rsidTr="00E0702C">
        <w:trPr>
          <w:jc w:val="center"/>
        </w:trPr>
        <w:tc>
          <w:tcPr>
            <w:tcW w:w="1080" w:type="dxa"/>
            <w:shd w:val="clear" w:color="auto" w:fill="FFFF00"/>
          </w:tcPr>
          <w:p w14:paraId="1383A1AF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00"/>
          </w:tcPr>
          <w:p w14:paraId="3BDE7BE2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sz w:val="18"/>
                <w:szCs w:val="18"/>
              </w:rPr>
              <w:t>Poglavlje I</w:t>
            </w:r>
          </w:p>
        </w:tc>
        <w:tc>
          <w:tcPr>
            <w:tcW w:w="2160" w:type="dxa"/>
            <w:shd w:val="clear" w:color="auto" w:fill="FFFF00"/>
          </w:tcPr>
          <w:p w14:paraId="6143679D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sz w:val="18"/>
                <w:szCs w:val="18"/>
              </w:rPr>
              <w:t>Poglavlje V</w:t>
            </w:r>
          </w:p>
        </w:tc>
        <w:tc>
          <w:tcPr>
            <w:tcW w:w="2430" w:type="dxa"/>
            <w:shd w:val="clear" w:color="auto" w:fill="FFFF00"/>
          </w:tcPr>
          <w:p w14:paraId="71EADC0E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sz w:val="18"/>
                <w:szCs w:val="18"/>
              </w:rPr>
              <w:t>Aneks II</w:t>
            </w:r>
          </w:p>
        </w:tc>
        <w:tc>
          <w:tcPr>
            <w:tcW w:w="1530" w:type="dxa"/>
            <w:shd w:val="clear" w:color="auto" w:fill="FFFF00"/>
          </w:tcPr>
          <w:p w14:paraId="5A09061C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sz w:val="18"/>
                <w:szCs w:val="18"/>
              </w:rPr>
              <w:t>Ukupno</w:t>
            </w:r>
          </w:p>
        </w:tc>
      </w:tr>
      <w:tr w:rsidR="00747F81" w:rsidRPr="007628BE" w14:paraId="342560F1" w14:textId="77777777" w:rsidTr="00E0702C">
        <w:trPr>
          <w:trHeight w:val="242"/>
          <w:jc w:val="center"/>
        </w:trPr>
        <w:tc>
          <w:tcPr>
            <w:tcW w:w="1080" w:type="dxa"/>
            <w:shd w:val="clear" w:color="auto" w:fill="FFFF00"/>
          </w:tcPr>
          <w:p w14:paraId="5113A283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2070" w:type="dxa"/>
            <w:shd w:val="clear" w:color="auto" w:fill="FFFF00"/>
            <w:vAlign w:val="bottom"/>
          </w:tcPr>
          <w:p w14:paraId="794E6C0E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57.169</w:t>
            </w:r>
          </w:p>
        </w:tc>
        <w:tc>
          <w:tcPr>
            <w:tcW w:w="2160" w:type="dxa"/>
            <w:shd w:val="clear" w:color="auto" w:fill="FFFF00"/>
          </w:tcPr>
          <w:p w14:paraId="50944793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133.853</w:t>
            </w:r>
          </w:p>
        </w:tc>
        <w:tc>
          <w:tcPr>
            <w:tcW w:w="2430" w:type="dxa"/>
            <w:shd w:val="clear" w:color="auto" w:fill="FFFF00"/>
          </w:tcPr>
          <w:p w14:paraId="638AC138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25.017</w:t>
            </w:r>
          </w:p>
        </w:tc>
        <w:tc>
          <w:tcPr>
            <w:tcW w:w="1530" w:type="dxa"/>
            <w:shd w:val="clear" w:color="auto" w:fill="FFFF00"/>
          </w:tcPr>
          <w:p w14:paraId="5D2373FC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216.039</w:t>
            </w:r>
          </w:p>
        </w:tc>
      </w:tr>
      <w:tr w:rsidR="00747F81" w:rsidRPr="007628BE" w14:paraId="12BEBED0" w14:textId="77777777" w:rsidTr="00E0702C">
        <w:trPr>
          <w:jc w:val="center"/>
        </w:trPr>
        <w:tc>
          <w:tcPr>
            <w:tcW w:w="1080" w:type="dxa"/>
          </w:tcPr>
          <w:p w14:paraId="1904C197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14:paraId="66836EA2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26.46</w:t>
            </w:r>
          </w:p>
        </w:tc>
        <w:tc>
          <w:tcPr>
            <w:tcW w:w="2160" w:type="dxa"/>
          </w:tcPr>
          <w:p w14:paraId="5B382035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61.96</w:t>
            </w:r>
          </w:p>
        </w:tc>
        <w:tc>
          <w:tcPr>
            <w:tcW w:w="2430" w:type="dxa"/>
          </w:tcPr>
          <w:p w14:paraId="1338658D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11.58</w:t>
            </w:r>
          </w:p>
        </w:tc>
        <w:tc>
          <w:tcPr>
            <w:tcW w:w="1530" w:type="dxa"/>
          </w:tcPr>
          <w:p w14:paraId="759C92F5" w14:textId="77777777" w:rsidR="00747F81" w:rsidRPr="0083107B" w:rsidRDefault="00747F81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07B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3AAAE424" w14:textId="77777777" w:rsidR="00747F81" w:rsidRDefault="00747F81" w:rsidP="00747F81">
      <w:pPr>
        <w:rPr>
          <w:i/>
        </w:rPr>
      </w:pPr>
    </w:p>
    <w:p w14:paraId="200C3715" w14:textId="0FA9D622" w:rsidR="00747F81" w:rsidRPr="007628BE" w:rsidRDefault="00747F81" w:rsidP="00747F81">
      <w:pPr>
        <w:rPr>
          <w:i/>
        </w:rPr>
      </w:pPr>
      <w:r>
        <w:rPr>
          <w:noProof/>
        </w:rPr>
        <w:drawing>
          <wp:inline distT="0" distB="0" distL="0" distR="0" wp14:anchorId="01887DFE" wp14:editId="30E6D799">
            <wp:extent cx="5860111" cy="2075180"/>
            <wp:effectExtent l="0" t="0" r="7620" b="12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ADC6C2" w14:textId="77777777" w:rsidR="00747F81" w:rsidRDefault="00747F81" w:rsidP="00E41B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2BCAD499" w14:textId="4FA6CF25" w:rsidR="0021204D" w:rsidRPr="0021204D" w:rsidRDefault="0021204D" w:rsidP="00212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Otvoreni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postupak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="00010074">
        <w:rPr>
          <w:rFonts w:ascii="Times New Roman" w:eastAsia="Times New Roman" w:hAnsi="Times New Roman" w:cs="Times New Roman"/>
          <w:kern w:val="0"/>
          <w14:ligatures w14:val="none"/>
        </w:rPr>
        <w:t>djele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F4AB445" w14:textId="77777777" w:rsidR="0021204D" w:rsidRPr="0021204D" w:rsidRDefault="0021204D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oko 85% vrijednosti i gotovo sav broj ugovora u Poglavlju I;</w:t>
      </w:r>
    </w:p>
    <w:p w14:paraId="0FF287DF" w14:textId="77777777" w:rsidR="0021204D" w:rsidRDefault="0021204D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formalno stvara najviše ponuda, ali vrlo često samo 1–2 ponude po postupku.</w:t>
      </w:r>
    </w:p>
    <w:p w14:paraId="6620E4F6" w14:textId="77777777" w:rsidR="0083107B" w:rsidRPr="0083107B" w:rsidRDefault="0083107B" w:rsidP="0083107B">
      <w:pPr>
        <w:jc w:val="both"/>
        <w:rPr>
          <w:rFonts w:ascii="Times New Roman" w:hAnsi="Times New Roman" w:cs="Times New Roman"/>
          <w:iCs/>
          <w:color w:val="000000"/>
        </w:rPr>
      </w:pPr>
      <w:r w:rsidRPr="00E274AC">
        <w:rPr>
          <w:rFonts w:ascii="Times New Roman" w:hAnsi="Times New Roman" w:cs="Times New Roman"/>
          <w:lang w:val="pt-BR"/>
        </w:rPr>
        <w:t xml:space="preserve">Vrijednost dodijeljenih ugovora u otvorenom postupku u 2022. godini je iznosio ukupno </w:t>
      </w:r>
      <w:r w:rsidRPr="00E274AC">
        <w:rPr>
          <w:rFonts w:ascii="Times New Roman" w:hAnsi="Times New Roman" w:cs="Times New Roman"/>
          <w:b/>
          <w:color w:val="000000"/>
          <w:lang w:val="pt-BR"/>
        </w:rPr>
        <w:t xml:space="preserve">3.149.952.181,49 </w:t>
      </w:r>
      <w:r w:rsidRPr="00E274AC">
        <w:rPr>
          <w:rFonts w:ascii="Times New Roman" w:hAnsi="Times New Roman" w:cs="Times New Roman"/>
          <w:color w:val="000000"/>
          <w:lang w:val="pt-BR"/>
        </w:rPr>
        <w:t xml:space="preserve">KM ili </w:t>
      </w:r>
      <w:r w:rsidRPr="00E274AC">
        <w:rPr>
          <w:rFonts w:ascii="Times New Roman" w:hAnsi="Times New Roman" w:cs="Times New Roman"/>
          <w:bCs/>
          <w:iCs/>
          <w:color w:val="000000"/>
          <w:lang w:val="pt-BR"/>
        </w:rPr>
        <w:t>85.09</w:t>
      </w:r>
      <w:r w:rsidRPr="00E274AC">
        <w:rPr>
          <w:rFonts w:ascii="Times New Roman" w:hAnsi="Times New Roman" w:cs="Times New Roman"/>
          <w:b/>
          <w:bCs/>
          <w:iCs/>
          <w:color w:val="000000"/>
          <w:lang w:val="pt-BR"/>
        </w:rPr>
        <w:t xml:space="preserve"> </w:t>
      </w:r>
      <w:r w:rsidRPr="00E274AC">
        <w:rPr>
          <w:rFonts w:ascii="Times New Roman" w:hAnsi="Times New Roman" w:cs="Times New Roman"/>
          <w:iCs/>
          <w:color w:val="000000"/>
          <w:lang w:val="pt-BR"/>
        </w:rPr>
        <w:t xml:space="preserve">% od svih svih dodijeljenih ugovora u postupcima „Poglavlja I“. </w:t>
      </w:r>
      <w:proofErr w:type="spellStart"/>
      <w:r w:rsidRPr="0083107B">
        <w:rPr>
          <w:rFonts w:ascii="Times New Roman" w:hAnsi="Times New Roman" w:cs="Times New Roman"/>
          <w:iCs/>
          <w:color w:val="000000"/>
        </w:rPr>
        <w:t>Odnosno</w:t>
      </w:r>
      <w:proofErr w:type="spellEnd"/>
      <w:r w:rsidRPr="0083107B">
        <w:rPr>
          <w:rFonts w:ascii="Times New Roman" w:hAnsi="Times New Roman" w:cs="Times New Roman"/>
          <w:iCs/>
          <w:color w:val="000000"/>
        </w:rPr>
        <w:t xml:space="preserve"> 71.42 % % </w:t>
      </w:r>
      <w:proofErr w:type="spellStart"/>
      <w:r w:rsidRPr="0083107B">
        <w:rPr>
          <w:rFonts w:ascii="Times New Roman" w:hAnsi="Times New Roman" w:cs="Times New Roman"/>
          <w:iCs/>
          <w:color w:val="000000"/>
        </w:rPr>
        <w:t>od</w:t>
      </w:r>
      <w:proofErr w:type="spellEnd"/>
      <w:r w:rsidRPr="0083107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83107B">
        <w:rPr>
          <w:rFonts w:ascii="Times New Roman" w:hAnsi="Times New Roman" w:cs="Times New Roman"/>
          <w:iCs/>
          <w:color w:val="000000"/>
        </w:rPr>
        <w:t>svih</w:t>
      </w:r>
      <w:proofErr w:type="spellEnd"/>
      <w:r w:rsidRPr="0083107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83107B">
        <w:rPr>
          <w:rFonts w:ascii="Times New Roman" w:hAnsi="Times New Roman" w:cs="Times New Roman"/>
          <w:iCs/>
          <w:color w:val="000000"/>
        </w:rPr>
        <w:t>dodijeljenih</w:t>
      </w:r>
      <w:proofErr w:type="spellEnd"/>
      <w:r w:rsidRPr="0083107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83107B">
        <w:rPr>
          <w:rFonts w:ascii="Times New Roman" w:hAnsi="Times New Roman" w:cs="Times New Roman"/>
          <w:iCs/>
          <w:color w:val="000000"/>
        </w:rPr>
        <w:t>ugovora</w:t>
      </w:r>
      <w:proofErr w:type="spellEnd"/>
      <w:r w:rsidRPr="0083107B">
        <w:rPr>
          <w:rFonts w:ascii="Times New Roman" w:hAnsi="Times New Roman" w:cs="Times New Roman"/>
          <w:iCs/>
          <w:color w:val="000000"/>
        </w:rPr>
        <w:t xml:space="preserve"> u 2022. </w:t>
      </w:r>
      <w:proofErr w:type="spellStart"/>
      <w:r w:rsidRPr="0083107B">
        <w:rPr>
          <w:rFonts w:ascii="Times New Roman" w:hAnsi="Times New Roman" w:cs="Times New Roman"/>
          <w:iCs/>
          <w:color w:val="000000"/>
        </w:rPr>
        <w:t>godini</w:t>
      </w:r>
      <w:proofErr w:type="spellEnd"/>
      <w:r w:rsidRPr="0083107B">
        <w:rPr>
          <w:rFonts w:ascii="Times New Roman" w:hAnsi="Times New Roman" w:cs="Times New Roman"/>
          <w:iCs/>
          <w:color w:val="000000"/>
        </w:rPr>
        <w:t>.</w:t>
      </w:r>
    </w:p>
    <w:p w14:paraId="66533074" w14:textId="77777777" w:rsidR="0021204D" w:rsidRPr="0021204D" w:rsidRDefault="0021204D" w:rsidP="002120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Pregovarački postupak bez objave (PBO)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2076C60F" w14:textId="77777777" w:rsidR="0021204D" w:rsidRPr="0021204D" w:rsidRDefault="0021204D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vrijednost cca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295 mil. KM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(≈ 8% vrijednosti Poglavlja I),</w:t>
      </w:r>
    </w:p>
    <w:p w14:paraId="0798E0DB" w14:textId="77777777" w:rsidR="0021204D" w:rsidRDefault="0021204D" w:rsidP="0021204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vrlo mali broj ugovora, tipično 1 ponuda po postupku.</w:t>
      </w:r>
    </w:p>
    <w:p w14:paraId="4B3E3731" w14:textId="4789B091" w:rsidR="0083107B" w:rsidRPr="00E274AC" w:rsidRDefault="0083107B" w:rsidP="0083107B">
      <w:pPr>
        <w:jc w:val="both"/>
        <w:rPr>
          <w:rFonts w:ascii="Times New Roman" w:hAnsi="Times New Roman" w:cs="Times New Roman"/>
          <w:iCs/>
          <w:color w:val="000000"/>
          <w:lang w:val="pt-BR"/>
        </w:rPr>
      </w:pPr>
      <w:r w:rsidRPr="00E274AC">
        <w:rPr>
          <w:rFonts w:ascii="Times New Roman" w:hAnsi="Times New Roman" w:cs="Times New Roman"/>
          <w:lang w:val="pt-BR"/>
        </w:rPr>
        <w:lastRenderedPageBreak/>
        <w:t>Vrijednost dodijeljenih ugovora u pregovaračkom postupku bez objave oba</w:t>
      </w:r>
      <w:r w:rsidR="00165952">
        <w:rPr>
          <w:rFonts w:ascii="Times New Roman" w:hAnsi="Times New Roman" w:cs="Times New Roman"/>
          <w:lang w:val="pt-BR"/>
        </w:rPr>
        <w:t>vijesti</w:t>
      </w:r>
      <w:r w:rsidRPr="00E274AC">
        <w:rPr>
          <w:rFonts w:ascii="Times New Roman" w:hAnsi="Times New Roman" w:cs="Times New Roman"/>
          <w:lang w:val="pt-BR"/>
        </w:rPr>
        <w:t xml:space="preserve"> u 2022. godini je iznosio ukupno </w:t>
      </w:r>
      <w:r w:rsidRPr="00E274AC">
        <w:rPr>
          <w:rFonts w:ascii="Times New Roman" w:hAnsi="Times New Roman" w:cs="Times New Roman"/>
          <w:b/>
          <w:color w:val="000000"/>
          <w:lang w:val="pt-BR"/>
        </w:rPr>
        <w:t xml:space="preserve">295.148.572,35 </w:t>
      </w:r>
      <w:r w:rsidRPr="00E274AC">
        <w:rPr>
          <w:rFonts w:ascii="Times New Roman" w:hAnsi="Times New Roman" w:cs="Times New Roman"/>
          <w:color w:val="000000"/>
          <w:lang w:val="pt-BR"/>
        </w:rPr>
        <w:t xml:space="preserve">KM ili </w:t>
      </w:r>
      <w:r w:rsidRPr="00E274AC">
        <w:rPr>
          <w:rFonts w:ascii="Times New Roman" w:hAnsi="Times New Roman" w:cs="Times New Roman"/>
          <w:b/>
          <w:bCs/>
          <w:iCs/>
          <w:color w:val="000000"/>
          <w:lang w:val="pt-BR"/>
        </w:rPr>
        <w:t xml:space="preserve">7.97 </w:t>
      </w:r>
      <w:r w:rsidRPr="00E274AC">
        <w:rPr>
          <w:rFonts w:ascii="Times New Roman" w:hAnsi="Times New Roman" w:cs="Times New Roman"/>
          <w:iCs/>
          <w:color w:val="000000"/>
          <w:lang w:val="pt-BR"/>
        </w:rPr>
        <w:t>% od svih dodijeljenih ugovora u postupcima „Poglavlja I“</w:t>
      </w:r>
      <w:r w:rsidRPr="00E274AC">
        <w:rPr>
          <w:rFonts w:ascii="Times New Roman" w:hAnsi="Times New Roman" w:cs="Times New Roman"/>
          <w:iCs/>
          <w:color w:val="000000" w:themeColor="text1"/>
          <w:lang w:val="pt-BR"/>
        </w:rPr>
        <w:t>, odnosno 6.69 % od svih dodijeljenih ugovora u 2022. godini.</w:t>
      </w:r>
    </w:p>
    <w:p w14:paraId="664ED9AF" w14:textId="4D3C9DDE" w:rsidR="00165372" w:rsidRDefault="00541E8F" w:rsidP="00F45A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Učinak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 w:rsidR="00165372" w:rsidRPr="0016537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Iako ugovorn</w:t>
      </w:r>
      <w:r w:rsidR="0016595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</w:t>
      </w:r>
      <w:r w:rsidR="00165372" w:rsidRPr="0016537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16595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tijelo</w:t>
      </w:r>
      <w:r w:rsidR="00165372" w:rsidRPr="0016537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najčešće primjenjuju otvoreni postupak, tržište ne rea</w:t>
      </w:r>
      <w:r w:rsidR="0016595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gira</w:t>
      </w:r>
      <w:r w:rsidR="00165372" w:rsidRPr="0016537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odgovarajućim</w:t>
      </w:r>
      <w:r w:rsidR="00165372" w:rsidRPr="0016537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16595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sudjelovanjem</w:t>
      </w:r>
      <w:r w:rsidR="00165372" w:rsidRPr="0016537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pa se stvara situacija prividne konkurencije u kojoj transparentnost forme nije praćena stvarnim tržišnim takmičenjem.</w:t>
      </w:r>
    </w:p>
    <w:p w14:paraId="2E78B611" w14:textId="036C2187" w:rsidR="0021204D" w:rsidRPr="0021204D" w:rsidRDefault="0021204D" w:rsidP="00165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b) Poglavlje V – Veliki broj postupaka, ali vrlo mala konkurencija</w:t>
      </w:r>
    </w:p>
    <w:p w14:paraId="67ED7806" w14:textId="77777777" w:rsidR="0021204D" w:rsidRPr="0021204D" w:rsidRDefault="0021204D" w:rsidP="002120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Poglavlje V nosi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7,74% vrijednosti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ali čak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61,96% broja ugovora (133.853)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C2273D2" w14:textId="277ACA53" w:rsidR="0021204D" w:rsidRPr="0021204D" w:rsidRDefault="00165952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Izravni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sporazum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0C1F981" w14:textId="77777777" w:rsidR="0021204D" w:rsidRPr="0021204D" w:rsidRDefault="0021204D" w:rsidP="00212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110.494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C8DCF3C" w14:textId="77777777" w:rsidR="0021204D" w:rsidRPr="0021204D" w:rsidRDefault="0021204D" w:rsidP="00212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oko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44,44%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Poglavlja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75416ED" w14:textId="77777777" w:rsidR="0021204D" w:rsidRDefault="0021204D" w:rsidP="002120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gotovo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uvijek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samo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jedan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dobavljač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” bez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nadmetanja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7C2759" w14:textId="571AAA6B" w:rsidR="00B82B56" w:rsidRPr="00B82B56" w:rsidRDefault="00B82B56" w:rsidP="00B82B56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B82B56">
        <w:rPr>
          <w:rFonts w:ascii="Times New Roman" w:hAnsi="Times New Roman" w:cs="Times New Roman"/>
        </w:rPr>
        <w:t>Vrijednost</w:t>
      </w:r>
      <w:proofErr w:type="spellEnd"/>
      <w:r w:rsidRPr="00B82B56">
        <w:rPr>
          <w:rFonts w:ascii="Times New Roman" w:hAnsi="Times New Roman" w:cs="Times New Roman"/>
        </w:rPr>
        <w:t xml:space="preserve"> </w:t>
      </w:r>
      <w:proofErr w:type="spellStart"/>
      <w:r w:rsidRPr="00B82B56">
        <w:rPr>
          <w:rFonts w:ascii="Times New Roman" w:hAnsi="Times New Roman" w:cs="Times New Roman"/>
        </w:rPr>
        <w:t>dodijeljenih</w:t>
      </w:r>
      <w:proofErr w:type="spellEnd"/>
      <w:r w:rsidRPr="00B82B56">
        <w:rPr>
          <w:rFonts w:ascii="Times New Roman" w:hAnsi="Times New Roman" w:cs="Times New Roman"/>
        </w:rPr>
        <w:t xml:space="preserve"> </w:t>
      </w:r>
      <w:proofErr w:type="spellStart"/>
      <w:r w:rsidRPr="00B82B56">
        <w:rPr>
          <w:rFonts w:ascii="Times New Roman" w:hAnsi="Times New Roman" w:cs="Times New Roman"/>
        </w:rPr>
        <w:t>ugovora</w:t>
      </w:r>
      <w:proofErr w:type="spellEnd"/>
      <w:r w:rsidRPr="00B82B56">
        <w:rPr>
          <w:rFonts w:ascii="Times New Roman" w:hAnsi="Times New Roman" w:cs="Times New Roman"/>
        </w:rPr>
        <w:t xml:space="preserve"> </w:t>
      </w:r>
      <w:proofErr w:type="spellStart"/>
      <w:r w:rsidRPr="00B82B56">
        <w:rPr>
          <w:rFonts w:ascii="Times New Roman" w:hAnsi="Times New Roman" w:cs="Times New Roman"/>
        </w:rPr>
        <w:t>putem</w:t>
      </w:r>
      <w:proofErr w:type="spellEnd"/>
      <w:r w:rsidRPr="00B82B56">
        <w:rPr>
          <w:rFonts w:ascii="Times New Roman" w:hAnsi="Times New Roman" w:cs="Times New Roman"/>
        </w:rPr>
        <w:t xml:space="preserve"> </w:t>
      </w:r>
      <w:proofErr w:type="spellStart"/>
      <w:r w:rsidR="00E760F4">
        <w:rPr>
          <w:rFonts w:ascii="Times New Roman" w:hAnsi="Times New Roman" w:cs="Times New Roman"/>
        </w:rPr>
        <w:t>izravnog</w:t>
      </w:r>
      <w:proofErr w:type="spellEnd"/>
      <w:r w:rsidRPr="00B82B56">
        <w:rPr>
          <w:rFonts w:ascii="Times New Roman" w:hAnsi="Times New Roman" w:cs="Times New Roman"/>
        </w:rPr>
        <w:t xml:space="preserve"> </w:t>
      </w:r>
      <w:proofErr w:type="spellStart"/>
      <w:r w:rsidRPr="00B82B56">
        <w:rPr>
          <w:rFonts w:ascii="Times New Roman" w:hAnsi="Times New Roman" w:cs="Times New Roman"/>
        </w:rPr>
        <w:t>sporazuma</w:t>
      </w:r>
      <w:proofErr w:type="spellEnd"/>
      <w:r w:rsidRPr="00B82B56">
        <w:rPr>
          <w:rFonts w:ascii="Times New Roman" w:hAnsi="Times New Roman" w:cs="Times New Roman"/>
        </w:rPr>
        <w:t xml:space="preserve"> u 2022. </w:t>
      </w:r>
      <w:proofErr w:type="spellStart"/>
      <w:r w:rsidRPr="00B82B56">
        <w:rPr>
          <w:rFonts w:ascii="Times New Roman" w:hAnsi="Times New Roman" w:cs="Times New Roman"/>
        </w:rPr>
        <w:t>godini</w:t>
      </w:r>
      <w:proofErr w:type="spellEnd"/>
      <w:r w:rsidRPr="00B82B56">
        <w:rPr>
          <w:rFonts w:ascii="Times New Roman" w:hAnsi="Times New Roman" w:cs="Times New Roman"/>
        </w:rPr>
        <w:t xml:space="preserve"> </w:t>
      </w:r>
      <w:proofErr w:type="spellStart"/>
      <w:r w:rsidRPr="00B82B56">
        <w:rPr>
          <w:rFonts w:ascii="Times New Roman" w:hAnsi="Times New Roman" w:cs="Times New Roman"/>
        </w:rPr>
        <w:t>iznosi</w:t>
      </w:r>
      <w:proofErr w:type="spellEnd"/>
      <w:r w:rsidRPr="00B82B56">
        <w:rPr>
          <w:rFonts w:ascii="Times New Roman" w:hAnsi="Times New Roman" w:cs="Times New Roman"/>
        </w:rPr>
        <w:t xml:space="preserve"> </w:t>
      </w:r>
      <w:r w:rsidRPr="00B82B56">
        <w:rPr>
          <w:rFonts w:ascii="Times New Roman" w:hAnsi="Times New Roman" w:cs="Times New Roman"/>
          <w:b/>
          <w:color w:val="000000"/>
        </w:rPr>
        <w:t xml:space="preserve">151.635.804,40 </w:t>
      </w:r>
      <w:r w:rsidRPr="00B82B56">
        <w:rPr>
          <w:rFonts w:ascii="Times New Roman" w:hAnsi="Times New Roman" w:cs="Times New Roman"/>
          <w:color w:val="000000"/>
        </w:rPr>
        <w:t xml:space="preserve">KM </w:t>
      </w:r>
      <w:proofErr w:type="spellStart"/>
      <w:r w:rsidRPr="00B82B56">
        <w:rPr>
          <w:rFonts w:ascii="Times New Roman" w:hAnsi="Times New Roman" w:cs="Times New Roman"/>
          <w:color w:val="000000"/>
        </w:rPr>
        <w:t>ili</w:t>
      </w:r>
      <w:proofErr w:type="spellEnd"/>
      <w:r w:rsidRPr="00B82B5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2B56">
        <w:rPr>
          <w:rFonts w:ascii="Times New Roman" w:hAnsi="Times New Roman" w:cs="Times New Roman"/>
        </w:rPr>
        <w:t xml:space="preserve">44.44 </w:t>
      </w:r>
      <w:r w:rsidRPr="00B82B56">
        <w:rPr>
          <w:rFonts w:ascii="Times New Roman" w:hAnsi="Times New Roman" w:cs="Times New Roman"/>
          <w:color w:val="000000"/>
        </w:rPr>
        <w:t>%</w:t>
      </w:r>
      <w:proofErr w:type="gramEnd"/>
      <w:r w:rsidRPr="00B82B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56">
        <w:rPr>
          <w:rFonts w:ascii="Times New Roman" w:hAnsi="Times New Roman" w:cs="Times New Roman"/>
          <w:color w:val="000000"/>
        </w:rPr>
        <w:t>od</w:t>
      </w:r>
      <w:proofErr w:type="spellEnd"/>
      <w:r w:rsidRPr="00B82B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56">
        <w:rPr>
          <w:rFonts w:ascii="Times New Roman" w:hAnsi="Times New Roman" w:cs="Times New Roman"/>
          <w:color w:val="000000"/>
        </w:rPr>
        <w:t>svih</w:t>
      </w:r>
      <w:proofErr w:type="spellEnd"/>
      <w:r w:rsidRPr="00B82B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56">
        <w:rPr>
          <w:rFonts w:ascii="Times New Roman" w:hAnsi="Times New Roman" w:cs="Times New Roman"/>
          <w:color w:val="000000"/>
        </w:rPr>
        <w:t>dodijeljenih</w:t>
      </w:r>
      <w:proofErr w:type="spellEnd"/>
      <w:r w:rsidRPr="00B82B5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2B56">
        <w:rPr>
          <w:rFonts w:ascii="Times New Roman" w:hAnsi="Times New Roman" w:cs="Times New Roman"/>
          <w:color w:val="000000"/>
        </w:rPr>
        <w:t>ugovora</w:t>
      </w:r>
      <w:proofErr w:type="spellEnd"/>
      <w:r w:rsidRPr="00B82B56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B82B56">
        <w:rPr>
          <w:rFonts w:ascii="Times New Roman" w:hAnsi="Times New Roman" w:cs="Times New Roman"/>
          <w:color w:val="000000"/>
        </w:rPr>
        <w:t>postupcima</w:t>
      </w:r>
      <w:proofErr w:type="spellEnd"/>
      <w:r w:rsidRPr="00B82B56">
        <w:rPr>
          <w:rFonts w:ascii="Times New Roman" w:hAnsi="Times New Roman" w:cs="Times New Roman"/>
          <w:color w:val="000000"/>
        </w:rPr>
        <w:t xml:space="preserve"> „</w:t>
      </w:r>
      <w:proofErr w:type="spellStart"/>
      <w:r w:rsidRPr="00B82B56">
        <w:rPr>
          <w:rFonts w:ascii="Times New Roman" w:hAnsi="Times New Roman" w:cs="Times New Roman"/>
          <w:color w:val="000000"/>
        </w:rPr>
        <w:t>Poglavlja</w:t>
      </w:r>
      <w:proofErr w:type="spellEnd"/>
      <w:r w:rsidRPr="00B82B5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B82B56">
        <w:rPr>
          <w:rFonts w:ascii="Times New Roman" w:hAnsi="Times New Roman" w:cs="Times New Roman"/>
          <w:color w:val="000000"/>
        </w:rPr>
        <w:t>V</w:t>
      </w:r>
      <w:r w:rsidRPr="00B82B56">
        <w:rPr>
          <w:rFonts w:ascii="Times New Roman" w:hAnsi="Times New Roman" w:cs="Times New Roman"/>
          <w:color w:val="000000" w:themeColor="text1"/>
        </w:rPr>
        <w:t>“</w:t>
      </w:r>
      <w:proofErr w:type="gramEnd"/>
      <w:r w:rsidRPr="00B82B5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82B56">
        <w:rPr>
          <w:rFonts w:ascii="Times New Roman" w:hAnsi="Times New Roman" w:cs="Times New Roman"/>
          <w:color w:val="000000" w:themeColor="text1"/>
        </w:rPr>
        <w:t>odnosno</w:t>
      </w:r>
      <w:proofErr w:type="spellEnd"/>
      <w:r w:rsidRPr="00B82B56">
        <w:rPr>
          <w:rFonts w:ascii="Times New Roman" w:hAnsi="Times New Roman" w:cs="Times New Roman"/>
          <w:color w:val="000000" w:themeColor="text1"/>
        </w:rPr>
        <w:t xml:space="preserve"> 3.44% </w:t>
      </w:r>
      <w:proofErr w:type="spellStart"/>
      <w:r w:rsidRPr="00B82B56">
        <w:rPr>
          <w:rFonts w:ascii="Times New Roman" w:hAnsi="Times New Roman" w:cs="Times New Roman"/>
          <w:color w:val="000000" w:themeColor="text1"/>
        </w:rPr>
        <w:t>od</w:t>
      </w:r>
      <w:proofErr w:type="spellEnd"/>
      <w:r w:rsidRPr="00B82B5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82B56">
        <w:rPr>
          <w:rFonts w:ascii="Times New Roman" w:hAnsi="Times New Roman" w:cs="Times New Roman"/>
          <w:color w:val="000000" w:themeColor="text1"/>
        </w:rPr>
        <w:t>svih</w:t>
      </w:r>
      <w:proofErr w:type="spellEnd"/>
      <w:r w:rsidRPr="00B82B5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82B56">
        <w:rPr>
          <w:rFonts w:ascii="Times New Roman" w:hAnsi="Times New Roman" w:cs="Times New Roman"/>
          <w:color w:val="000000" w:themeColor="text1"/>
        </w:rPr>
        <w:t>dodijeljenih</w:t>
      </w:r>
      <w:proofErr w:type="spellEnd"/>
      <w:r w:rsidRPr="00B82B5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82B56">
        <w:rPr>
          <w:rFonts w:ascii="Times New Roman" w:hAnsi="Times New Roman" w:cs="Times New Roman"/>
          <w:color w:val="000000" w:themeColor="text1"/>
        </w:rPr>
        <w:t>ugovora</w:t>
      </w:r>
      <w:proofErr w:type="spellEnd"/>
      <w:r w:rsidRPr="00B82B56">
        <w:rPr>
          <w:rFonts w:ascii="Times New Roman" w:hAnsi="Times New Roman" w:cs="Times New Roman"/>
          <w:color w:val="000000" w:themeColor="text1"/>
        </w:rPr>
        <w:t xml:space="preserve"> u 2022. </w:t>
      </w:r>
      <w:proofErr w:type="spellStart"/>
      <w:r w:rsidRPr="00B82B56">
        <w:rPr>
          <w:rFonts w:ascii="Times New Roman" w:hAnsi="Times New Roman" w:cs="Times New Roman"/>
          <w:color w:val="000000" w:themeColor="text1"/>
        </w:rPr>
        <w:t>godini</w:t>
      </w:r>
      <w:proofErr w:type="spellEnd"/>
      <w:r w:rsidRPr="00B82B56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850"/>
        <w:gridCol w:w="2340"/>
      </w:tblGrid>
      <w:tr w:rsidR="00B82B56" w:rsidRPr="00B82B56" w14:paraId="57663F78" w14:textId="77777777" w:rsidTr="00E0702C">
        <w:trPr>
          <w:trHeight w:val="2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6A35929C" w14:textId="64694408" w:rsidR="00B82B56" w:rsidRPr="00B82B56" w:rsidRDefault="00165952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Izravni</w:t>
            </w:r>
            <w:proofErr w:type="spellEnd"/>
            <w:r w:rsidR="00B82B56"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82B56"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postupak</w:t>
            </w:r>
            <w:proofErr w:type="spellEnd"/>
          </w:p>
        </w:tc>
        <w:tc>
          <w:tcPr>
            <w:tcW w:w="3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4466D20" w14:textId="77777777" w:rsidR="00B82B56" w:rsidRPr="00B82B56" w:rsidRDefault="00B82B56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Vrijednost</w:t>
            </w:r>
            <w:proofErr w:type="spellEnd"/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CD5212B" w14:textId="77777777" w:rsidR="00B82B56" w:rsidRPr="00B82B56" w:rsidRDefault="00B82B56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</w:t>
            </w:r>
            <w:proofErr w:type="spellEnd"/>
          </w:p>
        </w:tc>
      </w:tr>
      <w:tr w:rsidR="00B82B56" w:rsidRPr="00B82B56" w14:paraId="6057FCC1" w14:textId="77777777" w:rsidTr="00E0702C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B810" w14:textId="77777777" w:rsidR="00B82B56" w:rsidRPr="00B82B56" w:rsidRDefault="00B82B56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AECA5" w14:textId="77777777" w:rsidR="00B82B56" w:rsidRPr="00B82B56" w:rsidRDefault="00B82B56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70.229.192,31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453D93" w14:textId="77777777" w:rsidR="00B82B56" w:rsidRPr="00B82B56" w:rsidRDefault="00B82B56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53.747</w:t>
            </w:r>
          </w:p>
        </w:tc>
      </w:tr>
      <w:tr w:rsidR="00B82B56" w:rsidRPr="00B82B56" w14:paraId="41FC2EE5" w14:textId="77777777" w:rsidTr="00E0702C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557A" w14:textId="77777777" w:rsidR="00B82B56" w:rsidRPr="00B82B56" w:rsidRDefault="00B82B56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3E93C" w14:textId="77777777" w:rsidR="00B82B56" w:rsidRPr="00B82B56" w:rsidRDefault="00B82B56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70.591.968,33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577A51" w14:textId="77777777" w:rsidR="00B82B56" w:rsidRPr="00B82B56" w:rsidRDefault="00B82B56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54.149</w:t>
            </w:r>
          </w:p>
        </w:tc>
      </w:tr>
      <w:tr w:rsidR="00B82B56" w:rsidRPr="00B82B56" w14:paraId="3E4A08D0" w14:textId="77777777" w:rsidTr="00E0702C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ED3F" w14:textId="77777777" w:rsidR="00B82B56" w:rsidRPr="00B82B56" w:rsidRDefault="00B82B56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Radovi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D4C7F" w14:textId="77777777" w:rsidR="00B82B56" w:rsidRPr="00B82B56" w:rsidRDefault="00B82B56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10.814.643,76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4C9056" w14:textId="77777777" w:rsidR="00B82B56" w:rsidRPr="00B82B56" w:rsidRDefault="00B82B56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2.598</w:t>
            </w:r>
          </w:p>
        </w:tc>
      </w:tr>
      <w:tr w:rsidR="00B82B56" w:rsidRPr="00B82B56" w14:paraId="715C7BCF" w14:textId="77777777" w:rsidTr="00E0702C">
        <w:trPr>
          <w:trHeight w:val="3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0D7AC" w14:textId="77777777" w:rsidR="00B82B56" w:rsidRPr="00B82B56" w:rsidRDefault="00B82B56" w:rsidP="00E0702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2B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9EBF99" w14:textId="77777777" w:rsidR="00B82B56" w:rsidRPr="00B82B56" w:rsidRDefault="00B82B56" w:rsidP="00E0702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151.635.804,40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290973" w14:textId="77777777" w:rsidR="00B82B56" w:rsidRPr="00B82B56" w:rsidRDefault="00B82B56" w:rsidP="00E0702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2B5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110.494</w:t>
            </w:r>
          </w:p>
        </w:tc>
      </w:tr>
    </w:tbl>
    <w:p w14:paraId="19479541" w14:textId="77777777" w:rsidR="00B82B56" w:rsidRPr="0021204D" w:rsidRDefault="00B82B56" w:rsidP="00B82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004BAE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Konkurentski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zahtjev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66413ED" w14:textId="69A95AFB" w:rsidR="0021204D" w:rsidRPr="0021204D" w:rsidRDefault="0021204D" w:rsidP="00212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23.359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85D2A09" w14:textId="77777777" w:rsidR="0021204D" w:rsidRPr="0021204D" w:rsidRDefault="0021204D" w:rsidP="00212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oko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55,56%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Poglavlja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9229913" w14:textId="77777777" w:rsidR="0021204D" w:rsidRDefault="0021204D" w:rsidP="002120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u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prosjeku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1–2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EA30EF" w14:textId="77777777" w:rsidR="002F0041" w:rsidRPr="002F0041" w:rsidRDefault="002F0041" w:rsidP="002F0041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2F0041">
        <w:rPr>
          <w:rFonts w:ascii="Times New Roman" w:hAnsi="Times New Roman" w:cs="Times New Roman"/>
        </w:rPr>
        <w:t>Vrijednost</w:t>
      </w:r>
      <w:proofErr w:type="spellEnd"/>
      <w:r w:rsidRPr="002F0041">
        <w:rPr>
          <w:rFonts w:ascii="Times New Roman" w:hAnsi="Times New Roman" w:cs="Times New Roman"/>
        </w:rPr>
        <w:t xml:space="preserve"> </w:t>
      </w:r>
      <w:proofErr w:type="spellStart"/>
      <w:r w:rsidRPr="002F0041">
        <w:rPr>
          <w:rFonts w:ascii="Times New Roman" w:hAnsi="Times New Roman" w:cs="Times New Roman"/>
        </w:rPr>
        <w:t>dodijeljenih</w:t>
      </w:r>
      <w:proofErr w:type="spellEnd"/>
      <w:r w:rsidRPr="002F0041">
        <w:rPr>
          <w:rFonts w:ascii="Times New Roman" w:hAnsi="Times New Roman" w:cs="Times New Roman"/>
        </w:rPr>
        <w:t xml:space="preserve"> </w:t>
      </w:r>
      <w:proofErr w:type="spellStart"/>
      <w:r w:rsidRPr="002F0041">
        <w:rPr>
          <w:rFonts w:ascii="Times New Roman" w:hAnsi="Times New Roman" w:cs="Times New Roman"/>
        </w:rPr>
        <w:t>ugovora</w:t>
      </w:r>
      <w:proofErr w:type="spellEnd"/>
      <w:r w:rsidRPr="002F0041">
        <w:rPr>
          <w:rFonts w:ascii="Times New Roman" w:hAnsi="Times New Roman" w:cs="Times New Roman"/>
        </w:rPr>
        <w:t xml:space="preserve"> u </w:t>
      </w:r>
      <w:proofErr w:type="spellStart"/>
      <w:r w:rsidRPr="002F0041">
        <w:rPr>
          <w:rFonts w:ascii="Times New Roman" w:hAnsi="Times New Roman" w:cs="Times New Roman"/>
        </w:rPr>
        <w:t>konkurentskom</w:t>
      </w:r>
      <w:proofErr w:type="spellEnd"/>
      <w:r w:rsidRPr="002F0041">
        <w:rPr>
          <w:rFonts w:ascii="Times New Roman" w:hAnsi="Times New Roman" w:cs="Times New Roman"/>
        </w:rPr>
        <w:t xml:space="preserve"> </w:t>
      </w:r>
      <w:proofErr w:type="spellStart"/>
      <w:r w:rsidRPr="002F0041">
        <w:rPr>
          <w:rFonts w:ascii="Times New Roman" w:hAnsi="Times New Roman" w:cs="Times New Roman"/>
        </w:rPr>
        <w:t>zahtjevu</w:t>
      </w:r>
      <w:proofErr w:type="spellEnd"/>
      <w:r w:rsidRPr="002F0041">
        <w:rPr>
          <w:rFonts w:ascii="Times New Roman" w:hAnsi="Times New Roman" w:cs="Times New Roman"/>
        </w:rPr>
        <w:t xml:space="preserve"> za </w:t>
      </w:r>
      <w:proofErr w:type="spellStart"/>
      <w:r w:rsidRPr="002F0041">
        <w:rPr>
          <w:rFonts w:ascii="Times New Roman" w:hAnsi="Times New Roman" w:cs="Times New Roman"/>
        </w:rPr>
        <w:t>dostavu</w:t>
      </w:r>
      <w:proofErr w:type="spellEnd"/>
      <w:r w:rsidRPr="002F0041">
        <w:rPr>
          <w:rFonts w:ascii="Times New Roman" w:hAnsi="Times New Roman" w:cs="Times New Roman"/>
        </w:rPr>
        <w:t xml:space="preserve"> </w:t>
      </w:r>
      <w:proofErr w:type="spellStart"/>
      <w:r w:rsidRPr="002F0041">
        <w:rPr>
          <w:rFonts w:ascii="Times New Roman" w:hAnsi="Times New Roman" w:cs="Times New Roman"/>
        </w:rPr>
        <w:t>ponuda</w:t>
      </w:r>
      <w:proofErr w:type="spellEnd"/>
      <w:r w:rsidRPr="002F0041">
        <w:rPr>
          <w:rFonts w:ascii="Times New Roman" w:hAnsi="Times New Roman" w:cs="Times New Roman"/>
        </w:rPr>
        <w:t xml:space="preserve"> u 2022. </w:t>
      </w:r>
      <w:proofErr w:type="spellStart"/>
      <w:r w:rsidRPr="002F0041">
        <w:rPr>
          <w:rFonts w:ascii="Times New Roman" w:hAnsi="Times New Roman" w:cs="Times New Roman"/>
        </w:rPr>
        <w:t>godini</w:t>
      </w:r>
      <w:proofErr w:type="spellEnd"/>
      <w:r w:rsidRPr="002F0041">
        <w:rPr>
          <w:rFonts w:ascii="Times New Roman" w:hAnsi="Times New Roman" w:cs="Times New Roman"/>
        </w:rPr>
        <w:t xml:space="preserve"> </w:t>
      </w:r>
      <w:proofErr w:type="spellStart"/>
      <w:r w:rsidRPr="002F0041">
        <w:rPr>
          <w:rFonts w:ascii="Times New Roman" w:hAnsi="Times New Roman" w:cs="Times New Roman"/>
        </w:rPr>
        <w:t>iznosi</w:t>
      </w:r>
      <w:proofErr w:type="spellEnd"/>
      <w:r w:rsidRPr="002F0041">
        <w:rPr>
          <w:rFonts w:ascii="Times New Roman" w:hAnsi="Times New Roman" w:cs="Times New Roman"/>
        </w:rPr>
        <w:t xml:space="preserve"> </w:t>
      </w:r>
      <w:r w:rsidRPr="002F0041">
        <w:rPr>
          <w:rFonts w:ascii="Times New Roman" w:hAnsi="Times New Roman" w:cs="Times New Roman"/>
          <w:b/>
          <w:bCs/>
          <w:color w:val="000000"/>
        </w:rPr>
        <w:t xml:space="preserve">189.614.958,65 </w:t>
      </w:r>
      <w:r w:rsidRPr="002F0041">
        <w:rPr>
          <w:rFonts w:ascii="Times New Roman" w:hAnsi="Times New Roman" w:cs="Times New Roman"/>
          <w:color w:val="000000"/>
        </w:rPr>
        <w:t xml:space="preserve">KM </w:t>
      </w:r>
      <w:proofErr w:type="spellStart"/>
      <w:r w:rsidRPr="002F0041">
        <w:rPr>
          <w:rFonts w:ascii="Times New Roman" w:hAnsi="Times New Roman" w:cs="Times New Roman"/>
          <w:color w:val="000000"/>
        </w:rPr>
        <w:t>ili</w:t>
      </w:r>
      <w:proofErr w:type="spellEnd"/>
      <w:r w:rsidRPr="002F0041">
        <w:rPr>
          <w:rFonts w:ascii="Times New Roman" w:hAnsi="Times New Roman" w:cs="Times New Roman"/>
          <w:color w:val="000000"/>
        </w:rPr>
        <w:t xml:space="preserve"> 55.56 % </w:t>
      </w:r>
      <w:proofErr w:type="spellStart"/>
      <w:r w:rsidRPr="002F0041">
        <w:rPr>
          <w:rFonts w:ascii="Times New Roman" w:hAnsi="Times New Roman" w:cs="Times New Roman"/>
          <w:color w:val="000000"/>
        </w:rPr>
        <w:t>od</w:t>
      </w:r>
      <w:proofErr w:type="spellEnd"/>
      <w:r w:rsidRPr="002F004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0041">
        <w:rPr>
          <w:rFonts w:ascii="Times New Roman" w:hAnsi="Times New Roman" w:cs="Times New Roman"/>
          <w:color w:val="000000"/>
        </w:rPr>
        <w:t>svih</w:t>
      </w:r>
      <w:proofErr w:type="spellEnd"/>
      <w:r w:rsidRPr="002F004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0041">
        <w:rPr>
          <w:rFonts w:ascii="Times New Roman" w:hAnsi="Times New Roman" w:cs="Times New Roman"/>
          <w:color w:val="000000"/>
        </w:rPr>
        <w:t>dodijeljenih</w:t>
      </w:r>
      <w:proofErr w:type="spellEnd"/>
      <w:r w:rsidRPr="002F004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F0041">
        <w:rPr>
          <w:rFonts w:ascii="Times New Roman" w:hAnsi="Times New Roman" w:cs="Times New Roman"/>
          <w:color w:val="000000"/>
        </w:rPr>
        <w:t>ugovora</w:t>
      </w:r>
      <w:proofErr w:type="spellEnd"/>
      <w:r w:rsidRPr="002F0041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2F0041">
        <w:rPr>
          <w:rFonts w:ascii="Times New Roman" w:hAnsi="Times New Roman" w:cs="Times New Roman"/>
          <w:color w:val="000000"/>
        </w:rPr>
        <w:t>postupcima</w:t>
      </w:r>
      <w:proofErr w:type="spellEnd"/>
      <w:r w:rsidRPr="002F0041">
        <w:rPr>
          <w:rFonts w:ascii="Times New Roman" w:hAnsi="Times New Roman" w:cs="Times New Roman"/>
          <w:color w:val="000000"/>
        </w:rPr>
        <w:t xml:space="preserve"> „</w:t>
      </w:r>
      <w:proofErr w:type="spellStart"/>
      <w:r w:rsidRPr="002F0041">
        <w:rPr>
          <w:rFonts w:ascii="Times New Roman" w:hAnsi="Times New Roman" w:cs="Times New Roman"/>
          <w:color w:val="000000"/>
        </w:rPr>
        <w:t>Poglavlja</w:t>
      </w:r>
      <w:proofErr w:type="spellEnd"/>
      <w:r w:rsidRPr="002F00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F0041">
        <w:rPr>
          <w:rFonts w:ascii="Times New Roman" w:hAnsi="Times New Roman" w:cs="Times New Roman"/>
          <w:color w:val="000000"/>
        </w:rPr>
        <w:t>V“</w:t>
      </w:r>
      <w:proofErr w:type="gramEnd"/>
      <w:r w:rsidRPr="002F004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F0041">
        <w:rPr>
          <w:rFonts w:ascii="Times New Roman" w:hAnsi="Times New Roman" w:cs="Times New Roman"/>
          <w:color w:val="000000" w:themeColor="text1"/>
        </w:rPr>
        <w:t>odnosno</w:t>
      </w:r>
      <w:proofErr w:type="spellEnd"/>
      <w:r w:rsidRPr="002F0041">
        <w:rPr>
          <w:rFonts w:ascii="Times New Roman" w:hAnsi="Times New Roman" w:cs="Times New Roman"/>
          <w:color w:val="000000" w:themeColor="text1"/>
        </w:rPr>
        <w:t xml:space="preserve"> 4.30 % </w:t>
      </w:r>
      <w:proofErr w:type="spellStart"/>
      <w:r w:rsidRPr="002F0041">
        <w:rPr>
          <w:rFonts w:ascii="Times New Roman" w:hAnsi="Times New Roman" w:cs="Times New Roman"/>
          <w:color w:val="000000" w:themeColor="text1"/>
        </w:rPr>
        <w:t>od</w:t>
      </w:r>
      <w:proofErr w:type="spellEnd"/>
      <w:r w:rsidRPr="002F004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0041">
        <w:rPr>
          <w:rFonts w:ascii="Times New Roman" w:hAnsi="Times New Roman" w:cs="Times New Roman"/>
          <w:color w:val="000000" w:themeColor="text1"/>
        </w:rPr>
        <w:t>svih</w:t>
      </w:r>
      <w:proofErr w:type="spellEnd"/>
      <w:r w:rsidRPr="002F004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0041">
        <w:rPr>
          <w:rFonts w:ascii="Times New Roman" w:hAnsi="Times New Roman" w:cs="Times New Roman"/>
          <w:color w:val="000000" w:themeColor="text1"/>
        </w:rPr>
        <w:t>dodijeljenih</w:t>
      </w:r>
      <w:proofErr w:type="spellEnd"/>
      <w:r w:rsidRPr="002F004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F0041">
        <w:rPr>
          <w:rFonts w:ascii="Times New Roman" w:hAnsi="Times New Roman" w:cs="Times New Roman"/>
          <w:color w:val="000000" w:themeColor="text1"/>
        </w:rPr>
        <w:t>ugovora</w:t>
      </w:r>
      <w:proofErr w:type="spellEnd"/>
      <w:r w:rsidRPr="002F0041">
        <w:rPr>
          <w:rFonts w:ascii="Times New Roman" w:hAnsi="Times New Roman" w:cs="Times New Roman"/>
          <w:color w:val="000000" w:themeColor="text1"/>
        </w:rPr>
        <w:t xml:space="preserve"> u 2022. </w:t>
      </w:r>
      <w:proofErr w:type="spellStart"/>
      <w:r w:rsidRPr="002F0041">
        <w:rPr>
          <w:rFonts w:ascii="Times New Roman" w:hAnsi="Times New Roman" w:cs="Times New Roman"/>
          <w:color w:val="000000" w:themeColor="text1"/>
        </w:rPr>
        <w:t>godini</w:t>
      </w:r>
      <w:proofErr w:type="spellEnd"/>
      <w:r w:rsidRPr="002F0041">
        <w:rPr>
          <w:rFonts w:ascii="Times New Roman" w:hAnsi="Times New Roman" w:cs="Times New Roman"/>
          <w:color w:val="000000" w:themeColor="text1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620"/>
        <w:gridCol w:w="2570"/>
      </w:tblGrid>
      <w:tr w:rsidR="002F0041" w:rsidRPr="00686E5E" w14:paraId="465A4B61" w14:textId="77777777" w:rsidTr="00E0702C">
        <w:trPr>
          <w:trHeight w:val="51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346F4E46" w14:textId="77777777" w:rsidR="002F0041" w:rsidRPr="002F0041" w:rsidRDefault="002F0041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Konkurentski</w:t>
            </w:r>
            <w:proofErr w:type="spellEnd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zahtjev</w:t>
            </w:r>
            <w:proofErr w:type="spellEnd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dostavu</w:t>
            </w:r>
            <w:proofErr w:type="spellEnd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ponuda</w:t>
            </w:r>
            <w:proofErr w:type="spellEnd"/>
          </w:p>
        </w:tc>
        <w:tc>
          <w:tcPr>
            <w:tcW w:w="3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1AAD0C" w14:textId="77777777" w:rsidR="002F0041" w:rsidRPr="002F0041" w:rsidRDefault="002F0041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Vrijednost</w:t>
            </w:r>
            <w:proofErr w:type="spellEnd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36D6220" w14:textId="77777777" w:rsidR="002F0041" w:rsidRPr="002F0041" w:rsidRDefault="002F0041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</w:t>
            </w:r>
            <w:proofErr w:type="spellEnd"/>
          </w:p>
        </w:tc>
      </w:tr>
      <w:tr w:rsidR="002F0041" w:rsidRPr="00686E5E" w14:paraId="566963ED" w14:textId="77777777" w:rsidTr="00E0702C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957E" w14:textId="77777777" w:rsidR="002F0041" w:rsidRPr="002F0041" w:rsidRDefault="002F0041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Robe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5C0AA" w14:textId="77777777" w:rsidR="002F0041" w:rsidRPr="002F0041" w:rsidRDefault="002F0041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103.703.370,89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8D14F3" w14:textId="77777777" w:rsidR="002F0041" w:rsidRPr="002F0041" w:rsidRDefault="002F0041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13.421</w:t>
            </w:r>
          </w:p>
        </w:tc>
      </w:tr>
      <w:tr w:rsidR="002F0041" w:rsidRPr="00686E5E" w14:paraId="038A29F8" w14:textId="77777777" w:rsidTr="00E0702C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B5709" w14:textId="77777777" w:rsidR="002F0041" w:rsidRPr="002F0041" w:rsidRDefault="002F0041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6C93D" w14:textId="77777777" w:rsidR="002F0041" w:rsidRPr="002F0041" w:rsidRDefault="002F0041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44.983.068,99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530240" w14:textId="77777777" w:rsidR="002F0041" w:rsidRPr="002F0041" w:rsidRDefault="002F0041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8.321</w:t>
            </w:r>
          </w:p>
        </w:tc>
      </w:tr>
      <w:tr w:rsidR="002F0041" w:rsidRPr="00686E5E" w14:paraId="4E6B1EF1" w14:textId="77777777" w:rsidTr="00E0702C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C4F7" w14:textId="77777777" w:rsidR="002F0041" w:rsidRPr="002F0041" w:rsidRDefault="002F0041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Radovi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92893" w14:textId="77777777" w:rsidR="002F0041" w:rsidRPr="002F0041" w:rsidRDefault="002F0041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40.928.518,77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065802" w14:textId="77777777" w:rsidR="002F0041" w:rsidRPr="002F0041" w:rsidRDefault="002F0041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1.617</w:t>
            </w:r>
          </w:p>
        </w:tc>
      </w:tr>
      <w:tr w:rsidR="002F0041" w:rsidRPr="00686E5E" w14:paraId="12DE8EAB" w14:textId="77777777" w:rsidTr="00E0702C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8ED1B3" w14:textId="77777777" w:rsidR="002F0041" w:rsidRPr="002F0041" w:rsidRDefault="002F0041" w:rsidP="00E0702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2F00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0FAB2D" w14:textId="77777777" w:rsidR="002F0041" w:rsidRPr="002F0041" w:rsidRDefault="002F0041" w:rsidP="00E0702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189.614.958,65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26AD99" w14:textId="77777777" w:rsidR="002F0041" w:rsidRPr="002F0041" w:rsidRDefault="002F0041" w:rsidP="00E0702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F004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23.359</w:t>
            </w:r>
          </w:p>
        </w:tc>
      </w:tr>
    </w:tbl>
    <w:p w14:paraId="71A497A9" w14:textId="079C31E3" w:rsidR="003F0D39" w:rsidRPr="00713E0C" w:rsidRDefault="00541E8F" w:rsidP="00FC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Učinak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Poglavlje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V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značajno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povećava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ukupan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dodijeljenih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ali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ne i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pristiglih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čime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administrativni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E760F4">
        <w:rPr>
          <w:rFonts w:ascii="Times New Roman" w:eastAsia="Times New Roman" w:hAnsi="Times New Roman" w:cs="Times New Roman"/>
          <w:kern w:val="0"/>
          <w14:ligatures w14:val="none"/>
        </w:rPr>
        <w:t>pseg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5F2EAB">
        <w:rPr>
          <w:rFonts w:ascii="Times New Roman" w:eastAsia="Times New Roman" w:hAnsi="Times New Roman" w:cs="Times New Roman"/>
          <w:kern w:val="0"/>
          <w14:ligatures w14:val="none"/>
        </w:rPr>
        <w:t>ustava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širi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nesrazmjerno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stvarnom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intenzitetu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tržišnog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>nadmetanja</w:t>
      </w:r>
      <w:proofErr w:type="spellEnd"/>
      <w:r w:rsidR="003F0D39" w:rsidRPr="003F0D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3F0D39"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Drugim riječima, rast formalno provedenih postupaka ne prati proporcionalno jačanje konkurencije</w:t>
      </w:r>
    </w:p>
    <w:p w14:paraId="7242B760" w14:textId="1E24D00A" w:rsidR="0021204D" w:rsidRPr="001F2F7B" w:rsidRDefault="0021204D" w:rsidP="003F0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c) Aneks II – Specijali</w:t>
      </w:r>
      <w:r w:rsidR="005F2EAB" w:rsidRPr="001F2F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zirane</w:t>
      </w:r>
      <w:r w:rsidRPr="001F2F7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usluge sa tradicionalno niskom konkurencijom</w:t>
      </w:r>
    </w:p>
    <w:p w14:paraId="0481C67B" w14:textId="77777777" w:rsidR="0021204D" w:rsidRPr="001F2F7B" w:rsidRDefault="0021204D" w:rsidP="002120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Vrijednost cca </w:t>
      </w:r>
      <w:r w:rsidRPr="001F2F7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367 mil. KM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udio </w:t>
      </w:r>
      <w:r w:rsidRPr="001F2F7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8,33%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ukupne vrijednosti,</w:t>
      </w:r>
    </w:p>
    <w:p w14:paraId="01A7FFAE" w14:textId="77777777" w:rsidR="0021204D" w:rsidRPr="0021204D" w:rsidRDefault="0021204D" w:rsidP="002120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25.017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(11,58%)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086305" w14:textId="54F454AF" w:rsid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Najvažniji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segment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zdravstvo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socijalne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usluge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273 mil. KM) </w:t>
      </w:r>
    </w:p>
    <w:p w14:paraId="47F62914" w14:textId="7EDA3A99" w:rsidR="000B79C9" w:rsidRPr="000B79C9" w:rsidRDefault="00541E8F" w:rsidP="0021204D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Učinak</w:t>
      </w:r>
      <w:proofErr w:type="spellEnd"/>
      <w:r w:rsidR="000B79C9" w:rsidRPr="000B79C9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14:paraId="5A2A261A" w14:textId="29ABF646" w:rsidR="0021204D" w:rsidRPr="0021204D" w:rsidRDefault="00EC3494" w:rsidP="00FC27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C3494">
        <w:rPr>
          <w:rFonts w:ascii="Times New Roman" w:hAnsi="Times New Roman" w:cs="Times New Roman"/>
        </w:rPr>
        <w:t>Ograničen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broj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licenciranih</w:t>
      </w:r>
      <w:proofErr w:type="spellEnd"/>
      <w:r w:rsidRPr="00EC3494">
        <w:rPr>
          <w:rFonts w:ascii="Times New Roman" w:hAnsi="Times New Roman" w:cs="Times New Roman"/>
        </w:rPr>
        <w:t xml:space="preserve"> i </w:t>
      </w:r>
      <w:proofErr w:type="spellStart"/>
      <w:r w:rsidRPr="00EC3494">
        <w:rPr>
          <w:rFonts w:ascii="Times New Roman" w:hAnsi="Times New Roman" w:cs="Times New Roman"/>
        </w:rPr>
        <w:t>tehnički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opremljenih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ponu</w:t>
      </w:r>
      <w:r w:rsidR="005F2EAB">
        <w:rPr>
          <w:rFonts w:ascii="Times New Roman" w:hAnsi="Times New Roman" w:cs="Times New Roman"/>
        </w:rPr>
        <w:t>ditelja</w:t>
      </w:r>
      <w:proofErr w:type="spellEnd"/>
      <w:r w:rsidRPr="00EC3494">
        <w:rPr>
          <w:rFonts w:ascii="Times New Roman" w:hAnsi="Times New Roman" w:cs="Times New Roman"/>
        </w:rPr>
        <w:t xml:space="preserve">, u </w:t>
      </w:r>
      <w:proofErr w:type="spellStart"/>
      <w:r w:rsidRPr="00EC3494">
        <w:rPr>
          <w:rFonts w:ascii="Times New Roman" w:hAnsi="Times New Roman" w:cs="Times New Roman"/>
        </w:rPr>
        <w:t>kombinaciji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sa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visokom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učestalošću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postupaka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sa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jednom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ponudom</w:t>
      </w:r>
      <w:proofErr w:type="spellEnd"/>
      <w:r w:rsidRPr="00EC3494">
        <w:rPr>
          <w:rFonts w:ascii="Times New Roman" w:hAnsi="Times New Roman" w:cs="Times New Roman"/>
        </w:rPr>
        <w:t xml:space="preserve">, </w:t>
      </w:r>
      <w:proofErr w:type="spellStart"/>
      <w:r w:rsidRPr="00EC3494">
        <w:rPr>
          <w:rFonts w:ascii="Times New Roman" w:hAnsi="Times New Roman" w:cs="Times New Roman"/>
        </w:rPr>
        <w:t>ukazuje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na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strukturnu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slabost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tržišta</w:t>
      </w:r>
      <w:proofErr w:type="spellEnd"/>
      <w:r w:rsidRPr="00EC3494">
        <w:rPr>
          <w:rFonts w:ascii="Times New Roman" w:hAnsi="Times New Roman" w:cs="Times New Roman"/>
        </w:rPr>
        <w:t xml:space="preserve"> i </w:t>
      </w:r>
      <w:proofErr w:type="spellStart"/>
      <w:r w:rsidRPr="00EC3494">
        <w:rPr>
          <w:rFonts w:ascii="Times New Roman" w:hAnsi="Times New Roman" w:cs="Times New Roman"/>
        </w:rPr>
        <w:t>nedovoljnu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konkurentsku</w:t>
      </w:r>
      <w:proofErr w:type="spellEnd"/>
      <w:r w:rsidRPr="00EC3494">
        <w:rPr>
          <w:rFonts w:ascii="Times New Roman" w:hAnsi="Times New Roman" w:cs="Times New Roman"/>
        </w:rPr>
        <w:t xml:space="preserve"> </w:t>
      </w:r>
      <w:proofErr w:type="spellStart"/>
      <w:r w:rsidRPr="00EC3494">
        <w:rPr>
          <w:rFonts w:ascii="Times New Roman" w:hAnsi="Times New Roman" w:cs="Times New Roman"/>
        </w:rPr>
        <w:t>dinamiku</w:t>
      </w:r>
      <w:proofErr w:type="spellEnd"/>
      <w:r>
        <w:t>.</w:t>
      </w:r>
      <w:r w:rsidR="004F4BCE">
        <w:rPr>
          <w:rFonts w:ascii="Times New Roman" w:eastAsia="Times New Roman" w:hAnsi="Times New Roman" w:cs="Times New Roman"/>
          <w:kern w:val="0"/>
          <w14:ligatures w14:val="none"/>
        </w:rPr>
        <w:pict w14:anchorId="3C970BAF">
          <v:rect id="_x0000_i1026" style="width:0;height:1.5pt" o:hralign="center" o:hrstd="t" o:hr="t" fillcolor="#a0a0a0" stroked="f"/>
        </w:pict>
      </w:r>
    </w:p>
    <w:p w14:paraId="1E0495D4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2.2.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Analitičko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objašnjenje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pokazatelja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konkurencije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30F4AC73" w14:textId="77777777" w:rsidR="0021204D" w:rsidRPr="0021204D" w:rsidRDefault="0021204D" w:rsidP="00747F8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Prosječan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primljenih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2,14 /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prihvatljivih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1,93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3FC7034" w14:textId="50A6ABE9" w:rsidR="00D22FD3" w:rsidRDefault="007418FD" w:rsidP="00627B51">
      <w:pPr>
        <w:spacing w:before="100" w:beforeAutospacing="1" w:after="100" w:afterAutospacing="1" w:line="240" w:lineRule="auto"/>
        <w:ind w:left="720"/>
        <w:jc w:val="both"/>
      </w:pPr>
      <w:proofErr w:type="spellStart"/>
      <w:r w:rsidRPr="00D22FD3">
        <w:rPr>
          <w:rFonts w:ascii="Times New Roman" w:hAnsi="Times New Roman" w:cs="Times New Roman"/>
        </w:rPr>
        <w:t>Prosječan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broj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primljenih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ponuda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iznosi</w:t>
      </w:r>
      <w:proofErr w:type="spellEnd"/>
      <w:r w:rsidRPr="00D22FD3">
        <w:rPr>
          <w:rFonts w:ascii="Times New Roman" w:hAnsi="Times New Roman" w:cs="Times New Roman"/>
        </w:rPr>
        <w:t xml:space="preserve"> 2,14, </w:t>
      </w:r>
      <w:proofErr w:type="spellStart"/>
      <w:r w:rsidRPr="00D22FD3">
        <w:rPr>
          <w:rFonts w:ascii="Times New Roman" w:hAnsi="Times New Roman" w:cs="Times New Roman"/>
        </w:rPr>
        <w:t>dok</w:t>
      </w:r>
      <w:proofErr w:type="spellEnd"/>
      <w:r w:rsidRPr="00D22FD3">
        <w:rPr>
          <w:rFonts w:ascii="Times New Roman" w:hAnsi="Times New Roman" w:cs="Times New Roman"/>
        </w:rPr>
        <w:t xml:space="preserve"> je </w:t>
      </w:r>
      <w:proofErr w:type="spellStart"/>
      <w:r w:rsidRPr="00D22FD3">
        <w:rPr>
          <w:rFonts w:ascii="Times New Roman" w:hAnsi="Times New Roman" w:cs="Times New Roman"/>
        </w:rPr>
        <w:t>prosjek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prihvatljivih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ponuda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još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niži</w:t>
      </w:r>
      <w:proofErr w:type="spellEnd"/>
      <w:r w:rsidRPr="00D22FD3">
        <w:rPr>
          <w:rFonts w:ascii="Times New Roman" w:hAnsi="Times New Roman" w:cs="Times New Roman"/>
        </w:rPr>
        <w:t xml:space="preserve"> – 1,93. </w:t>
      </w:r>
      <w:proofErr w:type="spellStart"/>
      <w:r w:rsidRPr="00D22FD3">
        <w:rPr>
          <w:rFonts w:ascii="Times New Roman" w:hAnsi="Times New Roman" w:cs="Times New Roman"/>
        </w:rPr>
        <w:t>Ovakva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struktura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="005F2EAB">
        <w:rPr>
          <w:rFonts w:ascii="Times New Roman" w:hAnsi="Times New Roman" w:cs="Times New Roman"/>
        </w:rPr>
        <w:t>izravno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ukazuje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na</w:t>
      </w:r>
      <w:proofErr w:type="spellEnd"/>
      <w:r w:rsidRPr="00D22FD3">
        <w:rPr>
          <w:rFonts w:ascii="Times New Roman" w:hAnsi="Times New Roman" w:cs="Times New Roman"/>
        </w:rPr>
        <w:t xml:space="preserve"> slab </w:t>
      </w:r>
      <w:proofErr w:type="spellStart"/>
      <w:r w:rsidRPr="00D22FD3">
        <w:rPr>
          <w:rFonts w:ascii="Times New Roman" w:hAnsi="Times New Roman" w:cs="Times New Roman"/>
        </w:rPr>
        <w:t>konkurencijski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pritisak</w:t>
      </w:r>
      <w:proofErr w:type="spellEnd"/>
      <w:r w:rsidRPr="00D22FD3">
        <w:rPr>
          <w:rFonts w:ascii="Times New Roman" w:hAnsi="Times New Roman" w:cs="Times New Roman"/>
        </w:rPr>
        <w:t xml:space="preserve">: </w:t>
      </w:r>
      <w:proofErr w:type="spellStart"/>
      <w:r w:rsidRPr="00D22FD3">
        <w:rPr>
          <w:rFonts w:ascii="Times New Roman" w:hAnsi="Times New Roman" w:cs="Times New Roman"/>
        </w:rPr>
        <w:t>sa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svega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dvije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ponude</w:t>
      </w:r>
      <w:proofErr w:type="spellEnd"/>
      <w:r w:rsidRPr="00D22FD3">
        <w:rPr>
          <w:rFonts w:ascii="Times New Roman" w:hAnsi="Times New Roman" w:cs="Times New Roman"/>
        </w:rPr>
        <w:t xml:space="preserve"> u </w:t>
      </w:r>
      <w:proofErr w:type="spellStart"/>
      <w:r w:rsidRPr="00D22FD3">
        <w:rPr>
          <w:rFonts w:ascii="Times New Roman" w:hAnsi="Times New Roman" w:cs="Times New Roman"/>
        </w:rPr>
        <w:t>prosjeku</w:t>
      </w:r>
      <w:proofErr w:type="spellEnd"/>
      <w:r w:rsidRPr="00D22FD3">
        <w:rPr>
          <w:rFonts w:ascii="Times New Roman" w:hAnsi="Times New Roman" w:cs="Times New Roman"/>
        </w:rPr>
        <w:t xml:space="preserve">, </w:t>
      </w:r>
      <w:proofErr w:type="spellStart"/>
      <w:r w:rsidRPr="00D22FD3">
        <w:rPr>
          <w:rFonts w:ascii="Times New Roman" w:hAnsi="Times New Roman" w:cs="Times New Roman"/>
        </w:rPr>
        <w:t>prostor</w:t>
      </w:r>
      <w:proofErr w:type="spellEnd"/>
      <w:r w:rsidRPr="00D22FD3">
        <w:rPr>
          <w:rFonts w:ascii="Times New Roman" w:hAnsi="Times New Roman" w:cs="Times New Roman"/>
        </w:rPr>
        <w:t xml:space="preserve"> za </w:t>
      </w:r>
      <w:proofErr w:type="spellStart"/>
      <w:r w:rsidRPr="00D22FD3">
        <w:rPr>
          <w:rFonts w:ascii="Times New Roman" w:hAnsi="Times New Roman" w:cs="Times New Roman"/>
        </w:rPr>
        <w:t>značajnije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obaranje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cijena</w:t>
      </w:r>
      <w:proofErr w:type="spellEnd"/>
      <w:r w:rsidRPr="00D22FD3">
        <w:rPr>
          <w:rFonts w:ascii="Times New Roman" w:hAnsi="Times New Roman" w:cs="Times New Roman"/>
        </w:rPr>
        <w:t xml:space="preserve"> i </w:t>
      </w:r>
      <w:proofErr w:type="spellStart"/>
      <w:r w:rsidRPr="00D22FD3">
        <w:rPr>
          <w:rFonts w:ascii="Times New Roman" w:hAnsi="Times New Roman" w:cs="Times New Roman"/>
        </w:rPr>
        <w:t>stvarno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tržišno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nadmetanje</w:t>
      </w:r>
      <w:proofErr w:type="spellEnd"/>
      <w:r w:rsidRPr="00D22FD3">
        <w:rPr>
          <w:rFonts w:ascii="Times New Roman" w:hAnsi="Times New Roman" w:cs="Times New Roman"/>
        </w:rPr>
        <w:t xml:space="preserve"> je </w:t>
      </w:r>
      <w:proofErr w:type="spellStart"/>
      <w:r w:rsidRPr="00D22FD3">
        <w:rPr>
          <w:rFonts w:ascii="Times New Roman" w:hAnsi="Times New Roman" w:cs="Times New Roman"/>
        </w:rPr>
        <w:t>ograničen</w:t>
      </w:r>
      <w:proofErr w:type="spellEnd"/>
      <w:r w:rsidRPr="00D22FD3">
        <w:rPr>
          <w:rFonts w:ascii="Times New Roman" w:hAnsi="Times New Roman" w:cs="Times New Roman"/>
        </w:rPr>
        <w:t xml:space="preserve">. </w:t>
      </w:r>
      <w:proofErr w:type="spellStart"/>
      <w:r w:rsidRPr="00D22FD3">
        <w:rPr>
          <w:rFonts w:ascii="Times New Roman" w:hAnsi="Times New Roman" w:cs="Times New Roman"/>
        </w:rPr>
        <w:t>Istovremeno</w:t>
      </w:r>
      <w:proofErr w:type="spellEnd"/>
      <w:r w:rsidRPr="00D22FD3">
        <w:rPr>
          <w:rFonts w:ascii="Times New Roman" w:hAnsi="Times New Roman" w:cs="Times New Roman"/>
        </w:rPr>
        <w:t xml:space="preserve">, </w:t>
      </w:r>
      <w:proofErr w:type="spellStart"/>
      <w:r w:rsidRPr="00D22FD3">
        <w:rPr>
          <w:rFonts w:ascii="Times New Roman" w:hAnsi="Times New Roman" w:cs="Times New Roman"/>
        </w:rPr>
        <w:t>ovako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nizak</w:t>
      </w:r>
      <w:r w:rsidR="00E760F4">
        <w:rPr>
          <w:rFonts w:ascii="Times New Roman" w:hAnsi="Times New Roman" w:cs="Times New Roman"/>
        </w:rPr>
        <w:t>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="00E760F4">
        <w:rPr>
          <w:rFonts w:ascii="Times New Roman" w:hAnsi="Times New Roman" w:cs="Times New Roman"/>
        </w:rPr>
        <w:t>razina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="005F2EAB">
        <w:rPr>
          <w:rFonts w:ascii="Times New Roman" w:hAnsi="Times New Roman" w:cs="Times New Roman"/>
        </w:rPr>
        <w:t>sudjelovanja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="00E760F4">
        <w:rPr>
          <w:rFonts w:ascii="Times New Roman" w:hAnsi="Times New Roman" w:cs="Times New Roman"/>
        </w:rPr>
        <w:t>predlaže</w:t>
      </w:r>
      <w:proofErr w:type="spellEnd"/>
      <w:r w:rsidRPr="00D22FD3">
        <w:rPr>
          <w:rFonts w:ascii="Times New Roman" w:hAnsi="Times New Roman" w:cs="Times New Roman"/>
        </w:rPr>
        <w:t xml:space="preserve"> da </w:t>
      </w:r>
      <w:proofErr w:type="spellStart"/>
      <w:r w:rsidRPr="00D22FD3">
        <w:rPr>
          <w:rFonts w:ascii="Times New Roman" w:hAnsi="Times New Roman" w:cs="Times New Roman"/>
        </w:rPr>
        <w:t>tržište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funkcioni</w:t>
      </w:r>
      <w:r w:rsidR="005F2EAB">
        <w:rPr>
          <w:rFonts w:ascii="Times New Roman" w:hAnsi="Times New Roman" w:cs="Times New Roman"/>
        </w:rPr>
        <w:t>ra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na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bazi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relativno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uskog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kruga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aktivnih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subjekata</w:t>
      </w:r>
      <w:proofErr w:type="spellEnd"/>
      <w:r w:rsidRPr="00D22FD3">
        <w:rPr>
          <w:rFonts w:ascii="Times New Roman" w:hAnsi="Times New Roman" w:cs="Times New Roman"/>
        </w:rPr>
        <w:t xml:space="preserve">, </w:t>
      </w:r>
      <w:proofErr w:type="spellStart"/>
      <w:r w:rsidRPr="00D22FD3">
        <w:rPr>
          <w:rFonts w:ascii="Times New Roman" w:hAnsi="Times New Roman" w:cs="Times New Roman"/>
        </w:rPr>
        <w:t>što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dodatno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smanjuje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vjerovat</w:t>
      </w:r>
      <w:r w:rsidR="005F2EAB">
        <w:rPr>
          <w:rFonts w:ascii="Times New Roman" w:hAnsi="Times New Roman" w:cs="Times New Roman"/>
        </w:rPr>
        <w:t>nost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ulaska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novih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ponu</w:t>
      </w:r>
      <w:r w:rsidR="005F2EAB">
        <w:rPr>
          <w:rFonts w:ascii="Times New Roman" w:hAnsi="Times New Roman" w:cs="Times New Roman"/>
        </w:rPr>
        <w:t>ditelja</w:t>
      </w:r>
      <w:proofErr w:type="spellEnd"/>
      <w:r w:rsidRPr="00D22FD3">
        <w:rPr>
          <w:rFonts w:ascii="Times New Roman" w:hAnsi="Times New Roman" w:cs="Times New Roman"/>
        </w:rPr>
        <w:t xml:space="preserve"> i </w:t>
      </w:r>
      <w:proofErr w:type="spellStart"/>
      <w:r w:rsidRPr="00D22FD3">
        <w:rPr>
          <w:rFonts w:ascii="Times New Roman" w:hAnsi="Times New Roman" w:cs="Times New Roman"/>
        </w:rPr>
        <w:t>jačanja</w:t>
      </w:r>
      <w:proofErr w:type="spellEnd"/>
      <w:r w:rsidRPr="00D22FD3">
        <w:rPr>
          <w:rFonts w:ascii="Times New Roman" w:hAnsi="Times New Roman" w:cs="Times New Roman"/>
        </w:rPr>
        <w:t xml:space="preserve"> </w:t>
      </w:r>
      <w:proofErr w:type="spellStart"/>
      <w:r w:rsidRPr="00D22FD3">
        <w:rPr>
          <w:rFonts w:ascii="Times New Roman" w:hAnsi="Times New Roman" w:cs="Times New Roman"/>
        </w:rPr>
        <w:t>konkurencije</w:t>
      </w:r>
      <w:proofErr w:type="spellEnd"/>
      <w:r>
        <w:t>.</w:t>
      </w:r>
    </w:p>
    <w:p w14:paraId="4D7C28EC" w14:textId="09274E88" w:rsidR="0021204D" w:rsidRPr="00D22FD3" w:rsidRDefault="0021204D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</w:pPr>
      <w:r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Visok </w:t>
      </w:r>
      <w:proofErr w:type="spellStart"/>
      <w:r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udio</w:t>
      </w:r>
      <w:proofErr w:type="spellEnd"/>
      <w:r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prihvatljivih</w:t>
      </w:r>
      <w:proofErr w:type="spellEnd"/>
      <w:r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proofErr w:type="spellEnd"/>
      <w:r w:rsidRPr="00D22F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(~90%)</w:t>
      </w:r>
      <w:r w:rsidRPr="00D22F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168B70A" w14:textId="70AA0A83" w:rsidR="000D426C" w:rsidRDefault="003861C9" w:rsidP="00627B51">
      <w:pPr>
        <w:spacing w:before="100" w:beforeAutospacing="1" w:after="100" w:afterAutospacing="1" w:line="240" w:lineRule="auto"/>
        <w:ind w:left="720"/>
        <w:jc w:val="both"/>
        <w:rPr>
          <w:lang w:val="pt-BR"/>
        </w:rPr>
      </w:pPr>
      <w:r w:rsidRPr="000D426C">
        <w:rPr>
          <w:rFonts w:ascii="Times New Roman" w:hAnsi="Times New Roman" w:cs="Times New Roman"/>
          <w:lang w:val="pt-BR"/>
        </w:rPr>
        <w:t xml:space="preserve">Visok udio prihvatljivih ponuda, od oko 90%, na prvi pogled </w:t>
      </w:r>
      <w:r w:rsidR="00E760F4">
        <w:rPr>
          <w:rFonts w:ascii="Times New Roman" w:hAnsi="Times New Roman" w:cs="Times New Roman"/>
          <w:lang w:val="pt-BR"/>
        </w:rPr>
        <w:t>predlaže</w:t>
      </w:r>
      <w:r w:rsidRPr="000D426C">
        <w:rPr>
          <w:rFonts w:ascii="Times New Roman" w:hAnsi="Times New Roman" w:cs="Times New Roman"/>
          <w:lang w:val="pt-BR"/>
        </w:rPr>
        <w:t xml:space="preserve"> da u</w:t>
      </w:r>
      <w:r w:rsidR="005F2EAB">
        <w:rPr>
          <w:rFonts w:ascii="Times New Roman" w:hAnsi="Times New Roman" w:cs="Times New Roman"/>
          <w:lang w:val="pt-BR"/>
        </w:rPr>
        <w:t>vjeti</w:t>
      </w:r>
      <w:r w:rsidRPr="000D426C">
        <w:rPr>
          <w:rFonts w:ascii="Times New Roman" w:hAnsi="Times New Roman" w:cs="Times New Roman"/>
          <w:lang w:val="pt-BR"/>
        </w:rPr>
        <w:t xml:space="preserve"> nisu pretjerano restriktivni i da se većina ponuda formalno kvalifi</w:t>
      </w:r>
      <w:r w:rsidR="005F2EAB">
        <w:rPr>
          <w:rFonts w:ascii="Times New Roman" w:hAnsi="Times New Roman" w:cs="Times New Roman"/>
          <w:lang w:val="pt-BR"/>
        </w:rPr>
        <w:t>cira</w:t>
      </w:r>
      <w:r w:rsidRPr="000D426C">
        <w:rPr>
          <w:rFonts w:ascii="Times New Roman" w:hAnsi="Times New Roman" w:cs="Times New Roman"/>
          <w:lang w:val="pt-BR"/>
        </w:rPr>
        <w:t>. Međutim, kada se ovi podaci posmatraju u kontekstu činjenice da većina postupaka prima samo jednu do dvije ponude, postaje jasno da “visoka prihvatljivost” ne odražava snažnu konkurenciju, već upravo suprotno – slab</w:t>
      </w:r>
      <w:r w:rsidR="005F2EAB">
        <w:rPr>
          <w:rFonts w:ascii="Times New Roman" w:hAnsi="Times New Roman" w:cs="Times New Roman"/>
          <w:lang w:val="pt-BR"/>
        </w:rPr>
        <w:t>a</w:t>
      </w:r>
      <w:r w:rsidRPr="000D426C">
        <w:rPr>
          <w:rFonts w:ascii="Times New Roman" w:hAnsi="Times New Roman" w:cs="Times New Roman"/>
          <w:lang w:val="pt-BR"/>
        </w:rPr>
        <w:t xml:space="preserve"> tržišn</w:t>
      </w:r>
      <w:r w:rsidR="005F2EAB">
        <w:rPr>
          <w:rFonts w:ascii="Times New Roman" w:hAnsi="Times New Roman" w:cs="Times New Roman"/>
          <w:lang w:val="pt-BR"/>
        </w:rPr>
        <w:t>a</w:t>
      </w:r>
      <w:r w:rsidRPr="000D426C">
        <w:rPr>
          <w:rFonts w:ascii="Times New Roman" w:hAnsi="Times New Roman" w:cs="Times New Roman"/>
          <w:lang w:val="pt-BR"/>
        </w:rPr>
        <w:t xml:space="preserve"> </w:t>
      </w:r>
      <w:r w:rsidR="005F2EAB">
        <w:rPr>
          <w:rFonts w:ascii="Times New Roman" w:hAnsi="Times New Roman" w:cs="Times New Roman"/>
          <w:lang w:val="pt-BR"/>
        </w:rPr>
        <w:t>konkurencija</w:t>
      </w:r>
      <w:r w:rsidRPr="000D426C">
        <w:rPr>
          <w:rFonts w:ascii="Times New Roman" w:hAnsi="Times New Roman" w:cs="Times New Roman"/>
          <w:lang w:val="pt-BR"/>
        </w:rPr>
        <w:t xml:space="preserve">. Dakle, visoka stopa prihvatljivosti rezultat </w:t>
      </w:r>
      <w:r w:rsidRPr="000D426C">
        <w:rPr>
          <w:rFonts w:ascii="Times New Roman" w:hAnsi="Times New Roman" w:cs="Times New Roman"/>
          <w:lang w:val="pt-BR"/>
        </w:rPr>
        <w:lastRenderedPageBreak/>
        <w:t xml:space="preserve">je malog broja </w:t>
      </w:r>
      <w:r w:rsidR="005F2EAB">
        <w:rPr>
          <w:rFonts w:ascii="Times New Roman" w:hAnsi="Times New Roman" w:cs="Times New Roman"/>
          <w:lang w:val="pt-BR"/>
        </w:rPr>
        <w:t>sudionika</w:t>
      </w:r>
      <w:r w:rsidRPr="000D426C">
        <w:rPr>
          <w:rFonts w:ascii="Times New Roman" w:hAnsi="Times New Roman" w:cs="Times New Roman"/>
          <w:lang w:val="pt-BR"/>
        </w:rPr>
        <w:t>, a ne širine i dinamike tržišta, što ukazuje na ograničenu dostupnost izbora za ugovorn</w:t>
      </w:r>
      <w:r w:rsidR="005F2EAB">
        <w:rPr>
          <w:rFonts w:ascii="Times New Roman" w:hAnsi="Times New Roman" w:cs="Times New Roman"/>
          <w:lang w:val="pt-BR"/>
        </w:rPr>
        <w:t>a</w:t>
      </w:r>
      <w:r w:rsidRPr="000D426C">
        <w:rPr>
          <w:rFonts w:ascii="Times New Roman" w:hAnsi="Times New Roman" w:cs="Times New Roman"/>
          <w:lang w:val="pt-BR"/>
        </w:rPr>
        <w:t xml:space="preserve"> </w:t>
      </w:r>
      <w:r w:rsidR="005F2EAB">
        <w:rPr>
          <w:rFonts w:ascii="Times New Roman" w:hAnsi="Times New Roman" w:cs="Times New Roman"/>
          <w:lang w:val="pt-BR"/>
        </w:rPr>
        <w:t>tijela</w:t>
      </w:r>
      <w:r w:rsidRPr="000D426C">
        <w:rPr>
          <w:rFonts w:ascii="Times New Roman" w:hAnsi="Times New Roman" w:cs="Times New Roman"/>
          <w:lang w:val="pt-BR"/>
        </w:rPr>
        <w:t xml:space="preserve"> i ni</w:t>
      </w:r>
      <w:r w:rsidR="005F2EAB">
        <w:rPr>
          <w:rFonts w:ascii="Times New Roman" w:hAnsi="Times New Roman" w:cs="Times New Roman"/>
          <w:lang w:val="pt-BR"/>
        </w:rPr>
        <w:t>ska razina</w:t>
      </w:r>
      <w:r w:rsidRPr="000D426C">
        <w:rPr>
          <w:rFonts w:ascii="Times New Roman" w:hAnsi="Times New Roman" w:cs="Times New Roman"/>
          <w:lang w:val="pt-BR"/>
        </w:rPr>
        <w:t xml:space="preserve"> stvarnog tržišnog pritiska</w:t>
      </w:r>
    </w:p>
    <w:p w14:paraId="74DC8C49" w14:textId="1A903B11" w:rsidR="0021204D" w:rsidRPr="000D426C" w:rsidRDefault="0021204D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D426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Pregovarački postupci i </w:t>
      </w:r>
      <w:r w:rsidR="005F2EA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izravni</w:t>
      </w:r>
      <w:r w:rsidRPr="000D426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sporazumi</w:t>
      </w:r>
      <w:r w:rsidRPr="000D42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178144E0" w14:textId="77777777" w:rsidR="00627B51" w:rsidRDefault="00627B51" w:rsidP="00627B5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</w:p>
    <w:p w14:paraId="5CC91170" w14:textId="0E2F920F" w:rsidR="00A92ABA" w:rsidRPr="00627B51" w:rsidRDefault="00A92ABA" w:rsidP="00627B5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92AB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Smanjiti oslanjanje na pregovaračke postupke bez objave i </w:t>
      </w:r>
      <w:r w:rsidR="005F2EA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izravne</w:t>
      </w:r>
      <w:r w:rsidRPr="00A92AB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sporazume, posebno u </w:t>
      </w:r>
      <w:r w:rsidR="00071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područjima</w:t>
      </w:r>
      <w:r w:rsidRPr="00A92AB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gdje postoji realna mogućnost tržišnog nadmetanja.</w:t>
      </w:r>
      <w:r w:rsidR="00627B5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627B5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Pregovarački postupci bez objave prosječno ostvaruju tek 1 do 1,5 ponuda, dok se </w:t>
      </w:r>
      <w:r w:rsidR="005F2EA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izravni</w:t>
      </w:r>
      <w:r w:rsidRPr="00627B5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sporazumi – sa preko 110.000 zaključenih ugovora godišnje – u pravilu provode bez ikakvog konkurentskog pritiska. </w:t>
      </w:r>
      <w:r w:rsidRPr="0061406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Ovakva struktura postupaka </w:t>
      </w:r>
      <w:r w:rsidR="005F2EA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sustavno</w:t>
      </w:r>
      <w:r w:rsidRPr="0061406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071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smanjuje</w:t>
      </w:r>
      <w:r w:rsidRPr="0061406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prosječan broj ponuda, smanjuje mogućnost provjere tržišne cijene i povećava rizik od netransparentnosti. Umjesto toga, postupke u ovim vrijednosnim razredima treba, kad god je to moguće, usmjeravati ka konkurentskim procedurama koje omogućavaju šire tržišno </w:t>
      </w:r>
      <w:r w:rsidR="005F2EA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sudjelovanje</w:t>
      </w:r>
      <w:r w:rsidRPr="0061406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176F2F5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2.3. Učestalost postupaka sa jednom ponudom (2022)</w:t>
      </w:r>
    </w:p>
    <w:p w14:paraId="3B535BE6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Procjenjuje se da je u 2022. godini:</w:t>
      </w:r>
    </w:p>
    <w:p w14:paraId="07F9578E" w14:textId="77777777" w:rsidR="0021204D" w:rsidRPr="0021204D" w:rsidRDefault="0021204D" w:rsidP="00747F8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35–40% postupaka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završilo sa samo jednom ponudom.</w:t>
      </w:r>
    </w:p>
    <w:p w14:paraId="68E9F032" w14:textId="50D07382" w:rsidR="00FC276C" w:rsidRPr="00FC276C" w:rsidRDefault="00FC276C" w:rsidP="00FC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Najviši udio single-bid postupaka bilježi se u pregovaračkim postupcima bez objave (posebno za radove i složene usluge), zatim u radovima visoke vrijednosti koji se provode bez podjele na lotove, u sektorima zdravstva i socijalnih usluga (Aneks II), kao i kod </w:t>
      </w:r>
      <w:r w:rsidR="00071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izravnih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sporazuma, gdje je konkurencija gotovo u potpunosti izostala.</w:t>
      </w:r>
    </w:p>
    <w:p w14:paraId="71B09497" w14:textId="77777777" w:rsidR="00FC276C" w:rsidRPr="00FC276C" w:rsidRDefault="00FC276C" w:rsidP="00FC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58C3E047" w14:textId="60484681" w:rsidR="00FC276C" w:rsidRPr="00FC276C" w:rsidRDefault="00541E8F" w:rsidP="00FC27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Učinak</w:t>
      </w:r>
      <w:r w:rsidR="00FC276C" w:rsidRPr="00FC276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666ACFC0" w14:textId="300B98FF" w:rsidR="0021204D" w:rsidRPr="00FC276C" w:rsidRDefault="00FC276C" w:rsidP="00FC2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Povećani rizik viših cijena – razlika između postupaka sa jednom ponudom i onih sa tri ili više ponuda može iznositi 20–30%, što ukazuje da nedostatak tržišnog </w:t>
      </w:r>
      <w:r w:rsidR="00D80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natjecanja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071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izravno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utiče na efikasnost trošenja javnih sredstava.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Jačanje lokalnih monopola i oligopola – mali broj aktivnih ponu</w:t>
      </w:r>
      <w:r w:rsidR="00D80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 pojedinim sektorima omogućava stabilne pozicije postojećih </w:t>
      </w:r>
      <w:r w:rsidR="00D80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tvrtki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smanjuje konkurentski pritisak.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Otežan ulazak novih ponu</w:t>
      </w:r>
      <w:r w:rsidR="00D80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tržišta sa </w:t>
      </w:r>
      <w:r w:rsidR="00D80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ronično niskim brojem ponuda stvaraju zatvorene strukture u kojima se novi </w:t>
      </w:r>
      <w:r w:rsidR="00D80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sudionici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teško probijaju, što dugoročno održava ni</w:t>
      </w:r>
      <w:r w:rsidR="00D80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sku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8099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razinu</w:t>
      </w:r>
      <w:r w:rsidRPr="00FC276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konkurencije i ograničava inovaciju i kvalitet.</w:t>
      </w:r>
    </w:p>
    <w:p w14:paraId="7E1EEF71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4A3903">
          <v:rect id="_x0000_i1027" style="width:0;height:1.5pt" o:hralign="center" o:hrstd="t" o:hr="t" fillcolor="#a0a0a0" stroked="f"/>
        </w:pict>
      </w:r>
    </w:p>
    <w:p w14:paraId="03D4B5AB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2.4. Teritorijalne i sektorske razlike (2022)</w:t>
      </w:r>
    </w:p>
    <w:p w14:paraId="124A1F17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a) Pregovarački postupak bez objave po entitetima</w:t>
      </w:r>
    </w:p>
    <w:p w14:paraId="40977126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Približni udjeli u vrijednosti PBO:</w:t>
      </w:r>
    </w:p>
    <w:p w14:paraId="0CDC96B3" w14:textId="18B931EA" w:rsidR="0021204D" w:rsidRPr="0021204D" w:rsidRDefault="00F72E19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razina</w:t>
      </w:r>
      <w:proofErr w:type="spellEnd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BiH ≈ 1,</w:t>
      </w:r>
      <w:r w:rsidR="00C64C4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%,</w:t>
      </w:r>
    </w:p>
    <w:p w14:paraId="058E06FB" w14:textId="77777777" w:rsidR="0021204D" w:rsidRPr="0021204D" w:rsidRDefault="0021204D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FBiH ≈ 68,7%,</w:t>
      </w:r>
    </w:p>
    <w:p w14:paraId="34AE7645" w14:textId="77777777" w:rsidR="0021204D" w:rsidRPr="0021204D" w:rsidRDefault="0021204D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RS ≈ 29,6%,</w:t>
      </w:r>
    </w:p>
    <w:p w14:paraId="23FBF98E" w14:textId="77777777" w:rsidR="0021204D" w:rsidRPr="0021204D" w:rsidRDefault="0021204D" w:rsidP="00747F8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BD ≈ 0,2%.</w:t>
      </w:r>
    </w:p>
    <w:p w14:paraId="14A170D0" w14:textId="77777777" w:rsid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FBiH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ima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najveći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udio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po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RS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značajan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udio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posebno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radovima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dok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je Brčko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zanemariv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ali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stabilan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208BC2" w14:textId="2AB15267" w:rsidR="009409C4" w:rsidRPr="00D8099C" w:rsidRDefault="009409C4" w:rsidP="009409C4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9409C4">
        <w:rPr>
          <w:rFonts w:ascii="Times New Roman" w:hAnsi="Times New Roman" w:cs="Times New Roman"/>
          <w:color w:val="000000" w:themeColor="text1"/>
        </w:rPr>
        <w:t>Tabelarni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prikaz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dodijeljenih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ugovora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pregovarački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postupak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bez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objave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obav</w:t>
      </w:r>
      <w:r w:rsidR="00D8099C">
        <w:rPr>
          <w:rFonts w:ascii="Times New Roman" w:hAnsi="Times New Roman" w:cs="Times New Roman"/>
          <w:color w:val="000000" w:themeColor="text1"/>
        </w:rPr>
        <w:t>ijesti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nabavi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u 2022.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godini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prema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predmetu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nabave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D8099C">
        <w:rPr>
          <w:rFonts w:ascii="Times New Roman" w:hAnsi="Times New Roman" w:cs="Times New Roman"/>
          <w:color w:val="000000" w:themeColor="text1"/>
        </w:rPr>
        <w:t>razini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vlasti </w:t>
      </w:r>
      <w:proofErr w:type="spellStart"/>
      <w:r w:rsidRPr="009409C4">
        <w:rPr>
          <w:rFonts w:ascii="Times New Roman" w:hAnsi="Times New Roman" w:cs="Times New Roman"/>
          <w:color w:val="000000" w:themeColor="text1"/>
        </w:rPr>
        <w:t>kojem</w:t>
      </w:r>
      <w:proofErr w:type="spellEnd"/>
      <w:r w:rsidRPr="009409C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8099C">
        <w:rPr>
          <w:rFonts w:ascii="Times New Roman" w:hAnsi="Times New Roman" w:cs="Times New Roman"/>
          <w:color w:val="000000" w:themeColor="text1"/>
        </w:rPr>
        <w:t>pripada</w:t>
      </w:r>
      <w:proofErr w:type="spellEnd"/>
      <w:r w:rsidRPr="00D8099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8099C">
        <w:rPr>
          <w:rFonts w:ascii="Times New Roman" w:hAnsi="Times New Roman" w:cs="Times New Roman"/>
          <w:color w:val="000000" w:themeColor="text1"/>
        </w:rPr>
        <w:t>ugovorn</w:t>
      </w:r>
      <w:r w:rsidR="00D8099C" w:rsidRPr="00D8099C">
        <w:rPr>
          <w:rFonts w:ascii="Times New Roman" w:hAnsi="Times New Roman" w:cs="Times New Roman"/>
          <w:color w:val="000000" w:themeColor="text1"/>
        </w:rPr>
        <w:t>o</w:t>
      </w:r>
      <w:proofErr w:type="spellEnd"/>
      <w:r w:rsidR="00D8099C" w:rsidRPr="00D8099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8099C" w:rsidRPr="00D8099C">
        <w:rPr>
          <w:rFonts w:ascii="Times New Roman" w:hAnsi="Times New Roman" w:cs="Times New Roman"/>
          <w:color w:val="000000" w:themeColor="text1"/>
        </w:rPr>
        <w:t>tijelo</w:t>
      </w:r>
      <w:proofErr w:type="spellEnd"/>
      <w:r w:rsidRPr="00D8099C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1438"/>
        <w:gridCol w:w="1833"/>
        <w:gridCol w:w="1753"/>
        <w:gridCol w:w="1547"/>
        <w:gridCol w:w="1794"/>
      </w:tblGrid>
      <w:tr w:rsidR="009409C4" w:rsidRPr="009409C4" w14:paraId="1EB26110" w14:textId="77777777" w:rsidTr="00E0702C">
        <w:trPr>
          <w:trHeight w:val="270"/>
        </w:trPr>
        <w:tc>
          <w:tcPr>
            <w:tcW w:w="9355" w:type="dxa"/>
            <w:gridSpan w:val="6"/>
            <w:shd w:val="clear" w:color="auto" w:fill="FFFF00"/>
            <w:hideMark/>
          </w:tcPr>
          <w:p w14:paraId="4F1CCB5C" w14:textId="11DBEA92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Ukupna vrijednost dodijeljenih ugovora za pregovarački postupak bez objave obav</w:t>
            </w:r>
            <w:r w:rsidR="00D8099C">
              <w:rPr>
                <w:sz w:val="18"/>
                <w:szCs w:val="18"/>
              </w:rPr>
              <w:t>ijesti</w:t>
            </w:r>
            <w:r w:rsidRPr="009409C4">
              <w:rPr>
                <w:sz w:val="18"/>
                <w:szCs w:val="18"/>
              </w:rPr>
              <w:t xml:space="preserve"> o nabav</w:t>
            </w:r>
            <w:r w:rsidR="00D8099C">
              <w:rPr>
                <w:sz w:val="18"/>
                <w:szCs w:val="18"/>
              </w:rPr>
              <w:t>i</w:t>
            </w:r>
            <w:r w:rsidRPr="009409C4">
              <w:rPr>
                <w:sz w:val="18"/>
                <w:szCs w:val="18"/>
              </w:rPr>
              <w:t xml:space="preserve"> u 2022. godini prema predmetu nabave i </w:t>
            </w:r>
            <w:r w:rsidR="00D8099C">
              <w:rPr>
                <w:sz w:val="18"/>
                <w:szCs w:val="18"/>
              </w:rPr>
              <w:t>razini</w:t>
            </w:r>
            <w:r w:rsidRPr="009409C4">
              <w:rPr>
                <w:sz w:val="18"/>
                <w:szCs w:val="18"/>
              </w:rPr>
              <w:t xml:space="preserve"> vlasti:</w:t>
            </w:r>
          </w:p>
        </w:tc>
      </w:tr>
      <w:tr w:rsidR="009409C4" w:rsidRPr="009409C4" w14:paraId="166A1B23" w14:textId="77777777" w:rsidTr="00E0702C">
        <w:trPr>
          <w:trHeight w:val="315"/>
        </w:trPr>
        <w:tc>
          <w:tcPr>
            <w:tcW w:w="990" w:type="dxa"/>
            <w:noWrap/>
            <w:hideMark/>
          </w:tcPr>
          <w:p w14:paraId="3C427815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noWrap/>
            <w:hideMark/>
          </w:tcPr>
          <w:p w14:paraId="5D058C3A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BIH</w:t>
            </w:r>
          </w:p>
        </w:tc>
        <w:tc>
          <w:tcPr>
            <w:tcW w:w="1833" w:type="dxa"/>
            <w:noWrap/>
            <w:hideMark/>
          </w:tcPr>
          <w:p w14:paraId="38E17BAA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FBiH</w:t>
            </w:r>
          </w:p>
        </w:tc>
        <w:tc>
          <w:tcPr>
            <w:tcW w:w="1753" w:type="dxa"/>
            <w:noWrap/>
            <w:hideMark/>
          </w:tcPr>
          <w:p w14:paraId="3D52067E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RS</w:t>
            </w:r>
          </w:p>
        </w:tc>
        <w:tc>
          <w:tcPr>
            <w:tcW w:w="1547" w:type="dxa"/>
            <w:noWrap/>
            <w:hideMark/>
          </w:tcPr>
          <w:p w14:paraId="0ECFF288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BD</w:t>
            </w:r>
          </w:p>
        </w:tc>
        <w:tc>
          <w:tcPr>
            <w:tcW w:w="1794" w:type="dxa"/>
            <w:noWrap/>
            <w:hideMark/>
          </w:tcPr>
          <w:p w14:paraId="5A980E51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Ukupno</w:t>
            </w:r>
          </w:p>
        </w:tc>
      </w:tr>
      <w:tr w:rsidR="009409C4" w:rsidRPr="009409C4" w14:paraId="494559A6" w14:textId="77777777" w:rsidTr="00E0702C">
        <w:trPr>
          <w:trHeight w:val="270"/>
        </w:trPr>
        <w:tc>
          <w:tcPr>
            <w:tcW w:w="990" w:type="dxa"/>
            <w:noWrap/>
            <w:hideMark/>
          </w:tcPr>
          <w:p w14:paraId="7F9FBBCB" w14:textId="77777777" w:rsidR="009409C4" w:rsidRPr="009409C4" w:rsidRDefault="009409C4" w:rsidP="00E0702C">
            <w:pPr>
              <w:jc w:val="both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Robe</w:t>
            </w:r>
          </w:p>
        </w:tc>
        <w:tc>
          <w:tcPr>
            <w:tcW w:w="1438" w:type="dxa"/>
            <w:noWrap/>
            <w:hideMark/>
          </w:tcPr>
          <w:p w14:paraId="2DF44FC9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2.622.696,89</w:t>
            </w:r>
          </w:p>
        </w:tc>
        <w:tc>
          <w:tcPr>
            <w:tcW w:w="1833" w:type="dxa"/>
            <w:noWrap/>
            <w:hideMark/>
          </w:tcPr>
          <w:p w14:paraId="10A5A15F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147.812.103,58</w:t>
            </w:r>
          </w:p>
        </w:tc>
        <w:tc>
          <w:tcPr>
            <w:tcW w:w="1753" w:type="dxa"/>
            <w:noWrap/>
            <w:hideMark/>
          </w:tcPr>
          <w:p w14:paraId="3D2C7AB3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43.897.166,45</w:t>
            </w:r>
          </w:p>
        </w:tc>
        <w:tc>
          <w:tcPr>
            <w:tcW w:w="1547" w:type="dxa"/>
            <w:noWrap/>
            <w:hideMark/>
          </w:tcPr>
          <w:p w14:paraId="6E6BFFEA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268.488,55</w:t>
            </w:r>
          </w:p>
        </w:tc>
        <w:tc>
          <w:tcPr>
            <w:tcW w:w="1794" w:type="dxa"/>
            <w:noWrap/>
            <w:hideMark/>
          </w:tcPr>
          <w:p w14:paraId="40459A83" w14:textId="77777777" w:rsidR="009409C4" w:rsidRPr="009409C4" w:rsidRDefault="009409C4" w:rsidP="00E0702C">
            <w:pPr>
              <w:jc w:val="right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194.600.455,47</w:t>
            </w:r>
          </w:p>
        </w:tc>
      </w:tr>
      <w:tr w:rsidR="009409C4" w:rsidRPr="009409C4" w14:paraId="24832F9F" w14:textId="77777777" w:rsidTr="00E0702C">
        <w:trPr>
          <w:trHeight w:val="270"/>
        </w:trPr>
        <w:tc>
          <w:tcPr>
            <w:tcW w:w="990" w:type="dxa"/>
            <w:noWrap/>
            <w:hideMark/>
          </w:tcPr>
          <w:p w14:paraId="048D08C7" w14:textId="77777777" w:rsidR="009409C4" w:rsidRPr="009409C4" w:rsidRDefault="009409C4" w:rsidP="00E0702C">
            <w:pPr>
              <w:jc w:val="both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Usluge</w:t>
            </w:r>
          </w:p>
        </w:tc>
        <w:tc>
          <w:tcPr>
            <w:tcW w:w="1438" w:type="dxa"/>
            <w:noWrap/>
            <w:hideMark/>
          </w:tcPr>
          <w:p w14:paraId="31967B1B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1.493.813,20</w:t>
            </w:r>
          </w:p>
        </w:tc>
        <w:tc>
          <w:tcPr>
            <w:tcW w:w="1833" w:type="dxa"/>
            <w:noWrap/>
            <w:hideMark/>
          </w:tcPr>
          <w:p w14:paraId="74FD9937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48.048.276,03</w:t>
            </w:r>
          </w:p>
        </w:tc>
        <w:tc>
          <w:tcPr>
            <w:tcW w:w="1753" w:type="dxa"/>
            <w:noWrap/>
            <w:hideMark/>
          </w:tcPr>
          <w:p w14:paraId="3FEBCE17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24.176.599,43</w:t>
            </w:r>
          </w:p>
        </w:tc>
        <w:tc>
          <w:tcPr>
            <w:tcW w:w="1547" w:type="dxa"/>
            <w:noWrap/>
            <w:hideMark/>
          </w:tcPr>
          <w:p w14:paraId="544E0C9D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414.090,80</w:t>
            </w:r>
          </w:p>
        </w:tc>
        <w:tc>
          <w:tcPr>
            <w:tcW w:w="1794" w:type="dxa"/>
            <w:noWrap/>
            <w:hideMark/>
          </w:tcPr>
          <w:p w14:paraId="5146CF15" w14:textId="77777777" w:rsidR="009409C4" w:rsidRPr="009409C4" w:rsidRDefault="009409C4" w:rsidP="00E0702C">
            <w:pPr>
              <w:jc w:val="right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74.132.779,46</w:t>
            </w:r>
          </w:p>
        </w:tc>
      </w:tr>
      <w:tr w:rsidR="009409C4" w:rsidRPr="009409C4" w14:paraId="2B8B4E94" w14:textId="77777777" w:rsidTr="00E0702C">
        <w:trPr>
          <w:trHeight w:val="270"/>
        </w:trPr>
        <w:tc>
          <w:tcPr>
            <w:tcW w:w="990" w:type="dxa"/>
            <w:noWrap/>
            <w:hideMark/>
          </w:tcPr>
          <w:p w14:paraId="57C6BC2E" w14:textId="77777777" w:rsidR="009409C4" w:rsidRPr="009409C4" w:rsidRDefault="009409C4" w:rsidP="00E0702C">
            <w:pPr>
              <w:jc w:val="both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Radovi</w:t>
            </w:r>
          </w:p>
        </w:tc>
        <w:tc>
          <w:tcPr>
            <w:tcW w:w="1438" w:type="dxa"/>
            <w:noWrap/>
            <w:hideMark/>
          </w:tcPr>
          <w:p w14:paraId="7E2E0D3E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83.292,40</w:t>
            </w:r>
          </w:p>
        </w:tc>
        <w:tc>
          <w:tcPr>
            <w:tcW w:w="1833" w:type="dxa"/>
            <w:noWrap/>
            <w:hideMark/>
          </w:tcPr>
          <w:p w14:paraId="47BF103D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6.949.306,50</w:t>
            </w:r>
          </w:p>
        </w:tc>
        <w:tc>
          <w:tcPr>
            <w:tcW w:w="1753" w:type="dxa"/>
            <w:noWrap/>
            <w:hideMark/>
          </w:tcPr>
          <w:p w14:paraId="07DED2CC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19.353.871,37</w:t>
            </w:r>
          </w:p>
        </w:tc>
        <w:tc>
          <w:tcPr>
            <w:tcW w:w="1547" w:type="dxa"/>
            <w:noWrap/>
            <w:hideMark/>
          </w:tcPr>
          <w:p w14:paraId="0A499F66" w14:textId="77777777" w:rsidR="009409C4" w:rsidRPr="009409C4" w:rsidRDefault="009409C4" w:rsidP="00E0702C">
            <w:pPr>
              <w:jc w:val="right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28.867,15</w:t>
            </w:r>
          </w:p>
        </w:tc>
        <w:tc>
          <w:tcPr>
            <w:tcW w:w="1794" w:type="dxa"/>
            <w:noWrap/>
            <w:hideMark/>
          </w:tcPr>
          <w:p w14:paraId="4574C3E0" w14:textId="77777777" w:rsidR="009409C4" w:rsidRPr="009409C4" w:rsidRDefault="009409C4" w:rsidP="00E0702C">
            <w:pPr>
              <w:jc w:val="right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26.415.337,42</w:t>
            </w:r>
          </w:p>
        </w:tc>
      </w:tr>
      <w:tr w:rsidR="009409C4" w:rsidRPr="009409C4" w14:paraId="3166093B" w14:textId="77777777" w:rsidTr="00E0702C">
        <w:trPr>
          <w:trHeight w:val="270"/>
        </w:trPr>
        <w:tc>
          <w:tcPr>
            <w:tcW w:w="990" w:type="dxa"/>
            <w:noWrap/>
            <w:hideMark/>
          </w:tcPr>
          <w:p w14:paraId="1A525451" w14:textId="77777777" w:rsidR="009409C4" w:rsidRPr="009409C4" w:rsidRDefault="009409C4" w:rsidP="00E0702C">
            <w:pPr>
              <w:jc w:val="both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438" w:type="dxa"/>
            <w:noWrap/>
            <w:hideMark/>
          </w:tcPr>
          <w:p w14:paraId="63796504" w14:textId="77777777" w:rsidR="009409C4" w:rsidRPr="009409C4" w:rsidRDefault="009409C4" w:rsidP="00E0702C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4.199.802,49</w:t>
            </w:r>
          </w:p>
        </w:tc>
        <w:tc>
          <w:tcPr>
            <w:tcW w:w="1833" w:type="dxa"/>
            <w:noWrap/>
            <w:hideMark/>
          </w:tcPr>
          <w:p w14:paraId="43253022" w14:textId="77777777" w:rsidR="009409C4" w:rsidRPr="009409C4" w:rsidRDefault="009409C4" w:rsidP="00E0702C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202.809.686,11</w:t>
            </w:r>
          </w:p>
        </w:tc>
        <w:tc>
          <w:tcPr>
            <w:tcW w:w="1753" w:type="dxa"/>
            <w:noWrap/>
            <w:hideMark/>
          </w:tcPr>
          <w:p w14:paraId="04B44E7D" w14:textId="77777777" w:rsidR="009409C4" w:rsidRPr="009409C4" w:rsidRDefault="009409C4" w:rsidP="00E0702C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87.427.637,25</w:t>
            </w:r>
          </w:p>
        </w:tc>
        <w:tc>
          <w:tcPr>
            <w:tcW w:w="1547" w:type="dxa"/>
            <w:noWrap/>
            <w:hideMark/>
          </w:tcPr>
          <w:p w14:paraId="1433C57D" w14:textId="77777777" w:rsidR="009409C4" w:rsidRPr="009409C4" w:rsidRDefault="009409C4" w:rsidP="00E0702C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711.446,50</w:t>
            </w:r>
          </w:p>
        </w:tc>
        <w:tc>
          <w:tcPr>
            <w:tcW w:w="1794" w:type="dxa"/>
            <w:noWrap/>
            <w:hideMark/>
          </w:tcPr>
          <w:p w14:paraId="212C091B" w14:textId="77777777" w:rsidR="009409C4" w:rsidRPr="009409C4" w:rsidRDefault="009409C4" w:rsidP="00E0702C">
            <w:pPr>
              <w:jc w:val="right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295.148.572,35</w:t>
            </w:r>
          </w:p>
        </w:tc>
      </w:tr>
    </w:tbl>
    <w:p w14:paraId="327CEDA8" w14:textId="77777777" w:rsidR="009409C4" w:rsidRPr="007628BE" w:rsidRDefault="009409C4" w:rsidP="009409C4">
      <w:pPr>
        <w:jc w:val="both"/>
        <w:rPr>
          <w:i/>
        </w:rPr>
      </w:pPr>
      <w:r>
        <w:rPr>
          <w:noProof/>
        </w:rPr>
        <w:drawing>
          <wp:inline distT="0" distB="0" distL="0" distR="0" wp14:anchorId="26AE1E08" wp14:editId="00C2EF14">
            <wp:extent cx="5929952" cy="2743200"/>
            <wp:effectExtent l="0" t="0" r="13970" b="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F48828" w14:textId="38E8498A" w:rsidR="009409C4" w:rsidRPr="009409C4" w:rsidRDefault="009409C4" w:rsidP="009409C4">
      <w:pPr>
        <w:jc w:val="both"/>
        <w:rPr>
          <w:rFonts w:ascii="Times New Roman" w:hAnsi="Times New Roman" w:cs="Times New Roman"/>
        </w:rPr>
      </w:pPr>
      <w:proofErr w:type="spellStart"/>
      <w:r w:rsidRPr="009409C4">
        <w:rPr>
          <w:rFonts w:ascii="Times New Roman" w:hAnsi="Times New Roman" w:cs="Times New Roman"/>
        </w:rPr>
        <w:t>Tabelarni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prikaz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ukupnog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broja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dodijeljenih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ugovora</w:t>
      </w:r>
      <w:proofErr w:type="spellEnd"/>
      <w:r w:rsidRPr="009409C4">
        <w:rPr>
          <w:rFonts w:ascii="Times New Roman" w:hAnsi="Times New Roman" w:cs="Times New Roman"/>
        </w:rPr>
        <w:t xml:space="preserve"> za </w:t>
      </w:r>
      <w:proofErr w:type="spellStart"/>
      <w:r w:rsidRPr="009409C4">
        <w:rPr>
          <w:rFonts w:ascii="Times New Roman" w:hAnsi="Times New Roman" w:cs="Times New Roman"/>
        </w:rPr>
        <w:t>pregovarački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postupak</w:t>
      </w:r>
      <w:proofErr w:type="spellEnd"/>
      <w:r w:rsidRPr="009409C4">
        <w:rPr>
          <w:rFonts w:ascii="Times New Roman" w:hAnsi="Times New Roman" w:cs="Times New Roman"/>
        </w:rPr>
        <w:t xml:space="preserve"> bez </w:t>
      </w:r>
      <w:proofErr w:type="spellStart"/>
      <w:r w:rsidRPr="009409C4">
        <w:rPr>
          <w:rFonts w:ascii="Times New Roman" w:hAnsi="Times New Roman" w:cs="Times New Roman"/>
        </w:rPr>
        <w:t>objave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obav</w:t>
      </w:r>
      <w:r w:rsidR="00D8099C">
        <w:rPr>
          <w:rFonts w:ascii="Times New Roman" w:hAnsi="Times New Roman" w:cs="Times New Roman"/>
        </w:rPr>
        <w:t>ijesti</w:t>
      </w:r>
      <w:proofErr w:type="spellEnd"/>
      <w:r w:rsidRPr="009409C4">
        <w:rPr>
          <w:rFonts w:ascii="Times New Roman" w:hAnsi="Times New Roman" w:cs="Times New Roman"/>
        </w:rPr>
        <w:t xml:space="preserve"> o </w:t>
      </w:r>
      <w:proofErr w:type="spellStart"/>
      <w:r w:rsidRPr="009409C4">
        <w:rPr>
          <w:rFonts w:ascii="Times New Roman" w:hAnsi="Times New Roman" w:cs="Times New Roman"/>
        </w:rPr>
        <w:t>nabavi</w:t>
      </w:r>
      <w:proofErr w:type="spellEnd"/>
      <w:r w:rsidRPr="009409C4">
        <w:rPr>
          <w:rFonts w:ascii="Times New Roman" w:hAnsi="Times New Roman" w:cs="Times New Roman"/>
        </w:rPr>
        <w:t xml:space="preserve"> u 2022. </w:t>
      </w:r>
      <w:proofErr w:type="spellStart"/>
      <w:r w:rsidRPr="009409C4">
        <w:rPr>
          <w:rFonts w:ascii="Times New Roman" w:hAnsi="Times New Roman" w:cs="Times New Roman"/>
        </w:rPr>
        <w:t>godini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prema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predmetu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nabave</w:t>
      </w:r>
      <w:proofErr w:type="spellEnd"/>
      <w:r w:rsidRPr="009409C4">
        <w:rPr>
          <w:rFonts w:ascii="Times New Roman" w:hAnsi="Times New Roman" w:cs="Times New Roman"/>
        </w:rPr>
        <w:t xml:space="preserve"> i </w:t>
      </w:r>
      <w:proofErr w:type="spellStart"/>
      <w:r w:rsidR="00D8099C">
        <w:rPr>
          <w:rFonts w:ascii="Times New Roman" w:hAnsi="Times New Roman" w:cs="Times New Roman"/>
        </w:rPr>
        <w:t>razini</w:t>
      </w:r>
      <w:proofErr w:type="spellEnd"/>
      <w:r w:rsidRPr="009409C4">
        <w:rPr>
          <w:rFonts w:ascii="Times New Roman" w:hAnsi="Times New Roman" w:cs="Times New Roman"/>
        </w:rPr>
        <w:t xml:space="preserve"> vlasti </w:t>
      </w:r>
      <w:proofErr w:type="spellStart"/>
      <w:r w:rsidRPr="009409C4">
        <w:rPr>
          <w:rFonts w:ascii="Times New Roman" w:hAnsi="Times New Roman" w:cs="Times New Roman"/>
        </w:rPr>
        <w:t>kojem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pripada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Pr="009409C4">
        <w:rPr>
          <w:rFonts w:ascii="Times New Roman" w:hAnsi="Times New Roman" w:cs="Times New Roman"/>
        </w:rPr>
        <w:t>ugovorn</w:t>
      </w:r>
      <w:r w:rsidR="006108DA">
        <w:rPr>
          <w:rFonts w:ascii="Times New Roman" w:hAnsi="Times New Roman" w:cs="Times New Roman"/>
        </w:rPr>
        <w:t>o</w:t>
      </w:r>
      <w:proofErr w:type="spellEnd"/>
      <w:r w:rsidRPr="009409C4">
        <w:rPr>
          <w:rFonts w:ascii="Times New Roman" w:hAnsi="Times New Roman" w:cs="Times New Roman"/>
        </w:rPr>
        <w:t xml:space="preserve"> </w:t>
      </w:r>
      <w:proofErr w:type="spellStart"/>
      <w:r w:rsidR="006108DA">
        <w:rPr>
          <w:rFonts w:ascii="Times New Roman" w:hAnsi="Times New Roman" w:cs="Times New Roman"/>
        </w:rPr>
        <w:t>tijelo</w:t>
      </w:r>
      <w:proofErr w:type="spellEnd"/>
      <w:r w:rsidRPr="009409C4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1357"/>
        <w:gridCol w:w="1793"/>
        <w:gridCol w:w="1800"/>
        <w:gridCol w:w="1530"/>
        <w:gridCol w:w="1795"/>
      </w:tblGrid>
      <w:tr w:rsidR="009409C4" w:rsidRPr="009409C4" w14:paraId="3C66FBBB" w14:textId="77777777" w:rsidTr="00E0702C">
        <w:trPr>
          <w:trHeight w:val="270"/>
        </w:trPr>
        <w:tc>
          <w:tcPr>
            <w:tcW w:w="9355" w:type="dxa"/>
            <w:gridSpan w:val="6"/>
            <w:shd w:val="clear" w:color="auto" w:fill="FFFF00"/>
            <w:hideMark/>
          </w:tcPr>
          <w:p w14:paraId="18C443BA" w14:textId="2A44F44E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Ukupni broj dodijeljenih ugovora za pregovarački postupak bez objave obav</w:t>
            </w:r>
            <w:r w:rsidR="006108DA">
              <w:rPr>
                <w:sz w:val="18"/>
                <w:szCs w:val="18"/>
              </w:rPr>
              <w:t>ijesti</w:t>
            </w:r>
            <w:r w:rsidRPr="009409C4">
              <w:rPr>
                <w:sz w:val="18"/>
                <w:szCs w:val="18"/>
              </w:rPr>
              <w:t xml:space="preserve"> o naba</w:t>
            </w:r>
            <w:r w:rsidR="006108DA">
              <w:rPr>
                <w:sz w:val="18"/>
                <w:szCs w:val="18"/>
              </w:rPr>
              <w:t>v</w:t>
            </w:r>
            <w:r w:rsidRPr="009409C4">
              <w:rPr>
                <w:sz w:val="18"/>
                <w:szCs w:val="18"/>
              </w:rPr>
              <w:t xml:space="preserve">i u 2022. godini prema predmetu nabave i </w:t>
            </w:r>
            <w:r w:rsidR="006108DA">
              <w:rPr>
                <w:sz w:val="18"/>
                <w:szCs w:val="18"/>
              </w:rPr>
              <w:t>razini</w:t>
            </w:r>
            <w:r w:rsidRPr="009409C4">
              <w:rPr>
                <w:sz w:val="18"/>
                <w:szCs w:val="18"/>
              </w:rPr>
              <w:t xml:space="preserve"> vlasti kojem pripada ugovorn</w:t>
            </w:r>
            <w:r w:rsidR="006108DA">
              <w:rPr>
                <w:sz w:val="18"/>
                <w:szCs w:val="18"/>
              </w:rPr>
              <w:t>o</w:t>
            </w:r>
            <w:r w:rsidRPr="009409C4">
              <w:rPr>
                <w:sz w:val="18"/>
                <w:szCs w:val="18"/>
              </w:rPr>
              <w:t xml:space="preserve"> </w:t>
            </w:r>
            <w:r w:rsidR="006108DA">
              <w:rPr>
                <w:sz w:val="18"/>
                <w:szCs w:val="18"/>
              </w:rPr>
              <w:t>tijelo</w:t>
            </w:r>
            <w:r w:rsidRPr="009409C4">
              <w:rPr>
                <w:sz w:val="18"/>
                <w:szCs w:val="18"/>
              </w:rPr>
              <w:t>:</w:t>
            </w:r>
          </w:p>
        </w:tc>
      </w:tr>
      <w:tr w:rsidR="009409C4" w:rsidRPr="009409C4" w14:paraId="2354E823" w14:textId="77777777" w:rsidTr="00E0702C">
        <w:trPr>
          <w:trHeight w:val="270"/>
        </w:trPr>
        <w:tc>
          <w:tcPr>
            <w:tcW w:w="1080" w:type="dxa"/>
            <w:noWrap/>
          </w:tcPr>
          <w:p w14:paraId="55D40182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noWrap/>
          </w:tcPr>
          <w:p w14:paraId="414ACA7E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BiH</w:t>
            </w:r>
          </w:p>
        </w:tc>
        <w:tc>
          <w:tcPr>
            <w:tcW w:w="1793" w:type="dxa"/>
            <w:noWrap/>
          </w:tcPr>
          <w:p w14:paraId="6D471DAF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FBiH</w:t>
            </w:r>
          </w:p>
        </w:tc>
        <w:tc>
          <w:tcPr>
            <w:tcW w:w="1800" w:type="dxa"/>
            <w:noWrap/>
          </w:tcPr>
          <w:p w14:paraId="5C4AC194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RS</w:t>
            </w:r>
          </w:p>
        </w:tc>
        <w:tc>
          <w:tcPr>
            <w:tcW w:w="1530" w:type="dxa"/>
            <w:noWrap/>
          </w:tcPr>
          <w:p w14:paraId="3AF1201C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BD</w:t>
            </w:r>
          </w:p>
        </w:tc>
        <w:tc>
          <w:tcPr>
            <w:tcW w:w="1795" w:type="dxa"/>
            <w:noWrap/>
          </w:tcPr>
          <w:p w14:paraId="4F69A7BD" w14:textId="77777777" w:rsidR="009409C4" w:rsidRPr="009409C4" w:rsidRDefault="009409C4" w:rsidP="00E0702C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Ukupno</w:t>
            </w:r>
          </w:p>
        </w:tc>
      </w:tr>
      <w:tr w:rsidR="009409C4" w:rsidRPr="009409C4" w14:paraId="45FE4FD6" w14:textId="77777777" w:rsidTr="00E0702C">
        <w:trPr>
          <w:trHeight w:val="270"/>
        </w:trPr>
        <w:tc>
          <w:tcPr>
            <w:tcW w:w="1080" w:type="dxa"/>
            <w:noWrap/>
            <w:hideMark/>
          </w:tcPr>
          <w:p w14:paraId="0B5A3E77" w14:textId="77777777" w:rsidR="009409C4" w:rsidRPr="009409C4" w:rsidRDefault="009409C4" w:rsidP="00E0702C">
            <w:pPr>
              <w:jc w:val="both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Robe</w:t>
            </w:r>
          </w:p>
        </w:tc>
        <w:tc>
          <w:tcPr>
            <w:tcW w:w="1357" w:type="dxa"/>
            <w:noWrap/>
            <w:hideMark/>
          </w:tcPr>
          <w:p w14:paraId="201B141A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64</w:t>
            </w:r>
          </w:p>
        </w:tc>
        <w:tc>
          <w:tcPr>
            <w:tcW w:w="1793" w:type="dxa"/>
            <w:noWrap/>
            <w:hideMark/>
          </w:tcPr>
          <w:p w14:paraId="49DEFE1D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218</w:t>
            </w:r>
          </w:p>
        </w:tc>
        <w:tc>
          <w:tcPr>
            <w:tcW w:w="1800" w:type="dxa"/>
            <w:noWrap/>
            <w:hideMark/>
          </w:tcPr>
          <w:p w14:paraId="0AC7821E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22D77BBD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  <w:noWrap/>
            <w:hideMark/>
          </w:tcPr>
          <w:p w14:paraId="3FB2B609" w14:textId="77777777" w:rsidR="009409C4" w:rsidRPr="009409C4" w:rsidRDefault="009409C4" w:rsidP="00E0702C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419</w:t>
            </w:r>
          </w:p>
        </w:tc>
      </w:tr>
      <w:tr w:rsidR="009409C4" w:rsidRPr="009409C4" w14:paraId="20CCDCE2" w14:textId="77777777" w:rsidTr="00E0702C">
        <w:trPr>
          <w:trHeight w:val="270"/>
        </w:trPr>
        <w:tc>
          <w:tcPr>
            <w:tcW w:w="1080" w:type="dxa"/>
            <w:noWrap/>
            <w:hideMark/>
          </w:tcPr>
          <w:p w14:paraId="4849930B" w14:textId="77777777" w:rsidR="009409C4" w:rsidRPr="009409C4" w:rsidRDefault="009409C4" w:rsidP="00E0702C">
            <w:pPr>
              <w:jc w:val="both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Usluge</w:t>
            </w:r>
          </w:p>
        </w:tc>
        <w:tc>
          <w:tcPr>
            <w:tcW w:w="1357" w:type="dxa"/>
            <w:noWrap/>
            <w:hideMark/>
          </w:tcPr>
          <w:p w14:paraId="499ADFB7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73</w:t>
            </w:r>
          </w:p>
        </w:tc>
        <w:tc>
          <w:tcPr>
            <w:tcW w:w="1793" w:type="dxa"/>
            <w:noWrap/>
            <w:hideMark/>
          </w:tcPr>
          <w:p w14:paraId="55855DB3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254</w:t>
            </w:r>
          </w:p>
        </w:tc>
        <w:tc>
          <w:tcPr>
            <w:tcW w:w="1800" w:type="dxa"/>
            <w:noWrap/>
            <w:hideMark/>
          </w:tcPr>
          <w:p w14:paraId="78687D48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199</w:t>
            </w:r>
          </w:p>
        </w:tc>
        <w:tc>
          <w:tcPr>
            <w:tcW w:w="1530" w:type="dxa"/>
            <w:noWrap/>
            <w:hideMark/>
          </w:tcPr>
          <w:p w14:paraId="5B9B2A84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11</w:t>
            </w:r>
          </w:p>
        </w:tc>
        <w:tc>
          <w:tcPr>
            <w:tcW w:w="1795" w:type="dxa"/>
            <w:noWrap/>
            <w:hideMark/>
          </w:tcPr>
          <w:p w14:paraId="6ABAF16D" w14:textId="77777777" w:rsidR="009409C4" w:rsidRPr="009409C4" w:rsidRDefault="009409C4" w:rsidP="00E0702C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537</w:t>
            </w:r>
          </w:p>
        </w:tc>
      </w:tr>
      <w:tr w:rsidR="009409C4" w:rsidRPr="009409C4" w14:paraId="63A75D09" w14:textId="77777777" w:rsidTr="00E0702C">
        <w:trPr>
          <w:trHeight w:val="270"/>
        </w:trPr>
        <w:tc>
          <w:tcPr>
            <w:tcW w:w="1080" w:type="dxa"/>
            <w:noWrap/>
            <w:hideMark/>
          </w:tcPr>
          <w:p w14:paraId="6E428E5C" w14:textId="77777777" w:rsidR="009409C4" w:rsidRPr="009409C4" w:rsidRDefault="009409C4" w:rsidP="00E0702C">
            <w:pPr>
              <w:jc w:val="both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Radovi</w:t>
            </w:r>
          </w:p>
        </w:tc>
        <w:tc>
          <w:tcPr>
            <w:tcW w:w="1357" w:type="dxa"/>
            <w:noWrap/>
            <w:hideMark/>
          </w:tcPr>
          <w:p w14:paraId="0A5C4B79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9</w:t>
            </w:r>
          </w:p>
        </w:tc>
        <w:tc>
          <w:tcPr>
            <w:tcW w:w="1793" w:type="dxa"/>
            <w:noWrap/>
            <w:hideMark/>
          </w:tcPr>
          <w:p w14:paraId="11C811BD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96</w:t>
            </w:r>
          </w:p>
        </w:tc>
        <w:tc>
          <w:tcPr>
            <w:tcW w:w="1800" w:type="dxa"/>
            <w:noWrap/>
            <w:hideMark/>
          </w:tcPr>
          <w:p w14:paraId="435D3CA7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152</w:t>
            </w:r>
          </w:p>
        </w:tc>
        <w:tc>
          <w:tcPr>
            <w:tcW w:w="1530" w:type="dxa"/>
            <w:noWrap/>
            <w:hideMark/>
          </w:tcPr>
          <w:p w14:paraId="6AECA6F6" w14:textId="77777777" w:rsidR="009409C4" w:rsidRPr="009409C4" w:rsidRDefault="009409C4" w:rsidP="00E0702C">
            <w:pPr>
              <w:jc w:val="center"/>
              <w:rPr>
                <w:sz w:val="18"/>
                <w:szCs w:val="18"/>
              </w:rPr>
            </w:pPr>
            <w:r w:rsidRPr="009409C4">
              <w:rPr>
                <w:sz w:val="18"/>
                <w:szCs w:val="18"/>
              </w:rPr>
              <w:t>2</w:t>
            </w:r>
          </w:p>
        </w:tc>
        <w:tc>
          <w:tcPr>
            <w:tcW w:w="1795" w:type="dxa"/>
            <w:noWrap/>
            <w:hideMark/>
          </w:tcPr>
          <w:p w14:paraId="13CE1279" w14:textId="77777777" w:rsidR="009409C4" w:rsidRPr="009409C4" w:rsidRDefault="009409C4" w:rsidP="00E0702C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259</w:t>
            </w:r>
          </w:p>
        </w:tc>
      </w:tr>
      <w:tr w:rsidR="009409C4" w:rsidRPr="009409C4" w14:paraId="37EF0EDD" w14:textId="77777777" w:rsidTr="00E0702C">
        <w:trPr>
          <w:trHeight w:val="270"/>
        </w:trPr>
        <w:tc>
          <w:tcPr>
            <w:tcW w:w="1080" w:type="dxa"/>
            <w:noWrap/>
            <w:hideMark/>
          </w:tcPr>
          <w:p w14:paraId="26A8FB23" w14:textId="77777777" w:rsidR="009409C4" w:rsidRPr="009409C4" w:rsidRDefault="009409C4" w:rsidP="00E0702C">
            <w:pPr>
              <w:jc w:val="both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357" w:type="dxa"/>
            <w:noWrap/>
            <w:hideMark/>
          </w:tcPr>
          <w:p w14:paraId="3BB73187" w14:textId="77777777" w:rsidR="009409C4" w:rsidRPr="009409C4" w:rsidRDefault="009409C4" w:rsidP="00E0702C">
            <w:pPr>
              <w:jc w:val="center"/>
              <w:rPr>
                <w:b/>
                <w:bCs/>
                <w:sz w:val="18"/>
                <w:szCs w:val="18"/>
              </w:rPr>
            </w:pPr>
            <w:r w:rsidRPr="009409C4">
              <w:rPr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793" w:type="dxa"/>
            <w:noWrap/>
            <w:hideMark/>
          </w:tcPr>
          <w:p w14:paraId="7DF3CA47" w14:textId="77777777" w:rsidR="009409C4" w:rsidRPr="009409C4" w:rsidRDefault="009409C4" w:rsidP="00E0702C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568</w:t>
            </w:r>
          </w:p>
        </w:tc>
        <w:tc>
          <w:tcPr>
            <w:tcW w:w="1800" w:type="dxa"/>
            <w:noWrap/>
            <w:hideMark/>
          </w:tcPr>
          <w:p w14:paraId="0CA3F584" w14:textId="77777777" w:rsidR="009409C4" w:rsidRPr="009409C4" w:rsidRDefault="009409C4" w:rsidP="00E0702C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486</w:t>
            </w:r>
          </w:p>
        </w:tc>
        <w:tc>
          <w:tcPr>
            <w:tcW w:w="1530" w:type="dxa"/>
            <w:noWrap/>
            <w:hideMark/>
          </w:tcPr>
          <w:p w14:paraId="090E75D7" w14:textId="77777777" w:rsidR="009409C4" w:rsidRPr="009409C4" w:rsidRDefault="009409C4" w:rsidP="00E0702C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95" w:type="dxa"/>
            <w:noWrap/>
            <w:hideMark/>
          </w:tcPr>
          <w:p w14:paraId="0ACB6504" w14:textId="77777777" w:rsidR="009409C4" w:rsidRPr="009409C4" w:rsidRDefault="009409C4" w:rsidP="00E0702C">
            <w:pPr>
              <w:jc w:val="center"/>
              <w:rPr>
                <w:b/>
                <w:sz w:val="18"/>
                <w:szCs w:val="18"/>
              </w:rPr>
            </w:pPr>
            <w:r w:rsidRPr="009409C4">
              <w:rPr>
                <w:b/>
                <w:sz w:val="18"/>
                <w:szCs w:val="18"/>
              </w:rPr>
              <w:t>1.215</w:t>
            </w:r>
          </w:p>
        </w:tc>
      </w:tr>
    </w:tbl>
    <w:p w14:paraId="691A07E7" w14:textId="77777777" w:rsidR="009409C4" w:rsidRPr="007628BE" w:rsidRDefault="009409C4" w:rsidP="009409C4">
      <w:pPr>
        <w:jc w:val="both"/>
        <w:rPr>
          <w:i/>
        </w:rPr>
      </w:pPr>
      <w:r>
        <w:rPr>
          <w:noProof/>
        </w:rPr>
        <w:lastRenderedPageBreak/>
        <w:drawing>
          <wp:inline distT="0" distB="0" distL="0" distR="0" wp14:anchorId="515A8165" wp14:editId="1822E333">
            <wp:extent cx="5956935" cy="2490716"/>
            <wp:effectExtent l="0" t="0" r="5715" b="5080"/>
            <wp:docPr id="61" name="Chart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23D5CDE" w14:textId="77777777" w:rsidR="009409C4" w:rsidRPr="0021204D" w:rsidRDefault="009409C4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1A632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b)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Sektorske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razlike</w:t>
      </w:r>
      <w:proofErr w:type="spellEnd"/>
    </w:p>
    <w:p w14:paraId="7E504F21" w14:textId="197F465A" w:rsidR="0021204D" w:rsidRPr="00652D48" w:rsidRDefault="00B946B7" w:rsidP="00652D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52D48">
        <w:rPr>
          <w:rFonts w:ascii="Times New Roman" w:hAnsi="Times New Roman" w:cs="Times New Roman"/>
        </w:rPr>
        <w:t>Najniž</w:t>
      </w:r>
      <w:r w:rsidR="00885D2B">
        <w:rPr>
          <w:rFonts w:ascii="Times New Roman" w:hAnsi="Times New Roman" w:cs="Times New Roman"/>
        </w:rPr>
        <w:t>a</w:t>
      </w:r>
      <w:proofErr w:type="spellEnd"/>
      <w:r w:rsidR="00885D2B">
        <w:rPr>
          <w:rFonts w:ascii="Times New Roman" w:hAnsi="Times New Roman" w:cs="Times New Roman"/>
        </w:rPr>
        <w:t xml:space="preserve"> </w:t>
      </w:r>
      <w:proofErr w:type="spellStart"/>
      <w:r w:rsidR="00885D2B">
        <w:rPr>
          <w:rFonts w:ascii="Times New Roman" w:hAnsi="Times New Roman" w:cs="Times New Roman"/>
        </w:rPr>
        <w:t>razina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konkurencije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bilježi</w:t>
      </w:r>
      <w:proofErr w:type="spellEnd"/>
      <w:r w:rsidRPr="00652D48">
        <w:rPr>
          <w:rFonts w:ascii="Times New Roman" w:hAnsi="Times New Roman" w:cs="Times New Roman"/>
        </w:rPr>
        <w:t xml:space="preserve"> se u </w:t>
      </w:r>
      <w:proofErr w:type="spellStart"/>
      <w:r w:rsidRPr="00652D48">
        <w:rPr>
          <w:rFonts w:ascii="Times New Roman" w:hAnsi="Times New Roman" w:cs="Times New Roman"/>
        </w:rPr>
        <w:t>sektorima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zdravstva</w:t>
      </w:r>
      <w:proofErr w:type="spellEnd"/>
      <w:r w:rsidRPr="00652D48">
        <w:rPr>
          <w:rFonts w:ascii="Times New Roman" w:hAnsi="Times New Roman" w:cs="Times New Roman"/>
        </w:rPr>
        <w:t xml:space="preserve"> i </w:t>
      </w:r>
      <w:proofErr w:type="spellStart"/>
      <w:r w:rsidRPr="00652D48">
        <w:rPr>
          <w:rFonts w:ascii="Times New Roman" w:hAnsi="Times New Roman" w:cs="Times New Roman"/>
        </w:rPr>
        <w:t>socijalnih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usluga</w:t>
      </w:r>
      <w:proofErr w:type="spellEnd"/>
      <w:r w:rsidRPr="00652D48">
        <w:rPr>
          <w:rFonts w:ascii="Times New Roman" w:hAnsi="Times New Roman" w:cs="Times New Roman"/>
        </w:rPr>
        <w:t xml:space="preserve">, </w:t>
      </w:r>
      <w:proofErr w:type="spellStart"/>
      <w:r w:rsidRPr="00652D48">
        <w:rPr>
          <w:rFonts w:ascii="Times New Roman" w:hAnsi="Times New Roman" w:cs="Times New Roman"/>
        </w:rPr>
        <w:t>radovima</w:t>
      </w:r>
      <w:proofErr w:type="spellEnd"/>
      <w:r w:rsidRPr="00652D48">
        <w:rPr>
          <w:rFonts w:ascii="Times New Roman" w:hAnsi="Times New Roman" w:cs="Times New Roman"/>
        </w:rPr>
        <w:t xml:space="preserve"> – </w:t>
      </w:r>
      <w:proofErr w:type="spellStart"/>
      <w:r w:rsidRPr="00652D48">
        <w:rPr>
          <w:rFonts w:ascii="Times New Roman" w:hAnsi="Times New Roman" w:cs="Times New Roman"/>
        </w:rPr>
        <w:t>posebno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kod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velikih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infrastrukturnih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investicija</w:t>
      </w:r>
      <w:proofErr w:type="spellEnd"/>
      <w:r w:rsidRPr="00652D48">
        <w:rPr>
          <w:rFonts w:ascii="Times New Roman" w:hAnsi="Times New Roman" w:cs="Times New Roman"/>
        </w:rPr>
        <w:t xml:space="preserve"> – </w:t>
      </w:r>
      <w:proofErr w:type="spellStart"/>
      <w:r w:rsidRPr="00652D48">
        <w:rPr>
          <w:rFonts w:ascii="Times New Roman" w:hAnsi="Times New Roman" w:cs="Times New Roman"/>
        </w:rPr>
        <w:t>energetskim</w:t>
      </w:r>
      <w:proofErr w:type="spellEnd"/>
      <w:r w:rsidRPr="00652D48">
        <w:rPr>
          <w:rFonts w:ascii="Times New Roman" w:hAnsi="Times New Roman" w:cs="Times New Roman"/>
        </w:rPr>
        <w:t xml:space="preserve"> i </w:t>
      </w:r>
      <w:proofErr w:type="spellStart"/>
      <w:r w:rsidRPr="00652D48">
        <w:rPr>
          <w:rFonts w:ascii="Times New Roman" w:hAnsi="Times New Roman" w:cs="Times New Roman"/>
        </w:rPr>
        <w:t>komunalnim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uslugama</w:t>
      </w:r>
      <w:proofErr w:type="spellEnd"/>
      <w:r w:rsidRPr="00652D48">
        <w:rPr>
          <w:rFonts w:ascii="Times New Roman" w:hAnsi="Times New Roman" w:cs="Times New Roman"/>
        </w:rPr>
        <w:t xml:space="preserve">, </w:t>
      </w:r>
      <w:proofErr w:type="spellStart"/>
      <w:r w:rsidRPr="00652D48">
        <w:rPr>
          <w:rFonts w:ascii="Times New Roman" w:hAnsi="Times New Roman" w:cs="Times New Roman"/>
        </w:rPr>
        <w:t>te</w:t>
      </w:r>
      <w:proofErr w:type="spellEnd"/>
      <w:r w:rsidRPr="00652D48">
        <w:rPr>
          <w:rFonts w:ascii="Times New Roman" w:hAnsi="Times New Roman" w:cs="Times New Roman"/>
        </w:rPr>
        <w:t xml:space="preserve"> u </w:t>
      </w:r>
      <w:proofErr w:type="spellStart"/>
      <w:r w:rsidRPr="00652D48">
        <w:rPr>
          <w:rFonts w:ascii="Times New Roman" w:hAnsi="Times New Roman" w:cs="Times New Roman"/>
        </w:rPr>
        <w:t>segmentu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transporta</w:t>
      </w:r>
      <w:proofErr w:type="spellEnd"/>
      <w:r w:rsidRPr="00652D48">
        <w:rPr>
          <w:rFonts w:ascii="Times New Roman" w:hAnsi="Times New Roman" w:cs="Times New Roman"/>
        </w:rPr>
        <w:t xml:space="preserve"> i </w:t>
      </w:r>
      <w:proofErr w:type="spellStart"/>
      <w:r w:rsidRPr="00652D48">
        <w:rPr>
          <w:rFonts w:ascii="Times New Roman" w:hAnsi="Times New Roman" w:cs="Times New Roman"/>
        </w:rPr>
        <w:t>logistike</w:t>
      </w:r>
      <w:proofErr w:type="spellEnd"/>
      <w:r w:rsidRPr="00652D48">
        <w:rPr>
          <w:rFonts w:ascii="Times New Roman" w:hAnsi="Times New Roman" w:cs="Times New Roman"/>
        </w:rPr>
        <w:t xml:space="preserve"> u </w:t>
      </w:r>
      <w:proofErr w:type="spellStart"/>
      <w:r w:rsidRPr="00652D48">
        <w:rPr>
          <w:rFonts w:ascii="Times New Roman" w:hAnsi="Times New Roman" w:cs="Times New Roman"/>
        </w:rPr>
        <w:t>manjim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općinama</w:t>
      </w:r>
      <w:proofErr w:type="spellEnd"/>
      <w:r w:rsidRPr="00652D48">
        <w:rPr>
          <w:rFonts w:ascii="Times New Roman" w:hAnsi="Times New Roman" w:cs="Times New Roman"/>
        </w:rPr>
        <w:t>. Ov</w:t>
      </w:r>
      <w:r w:rsidR="00885D2B">
        <w:rPr>
          <w:rFonts w:ascii="Times New Roman" w:hAnsi="Times New Roman" w:cs="Times New Roman"/>
        </w:rPr>
        <w:t>a</w:t>
      </w:r>
      <w:r w:rsidRPr="00652D48">
        <w:rPr>
          <w:rFonts w:ascii="Times New Roman" w:hAnsi="Times New Roman" w:cs="Times New Roman"/>
        </w:rPr>
        <w:t xml:space="preserve"> </w:t>
      </w:r>
      <w:proofErr w:type="spellStart"/>
      <w:r w:rsidR="00885D2B">
        <w:rPr>
          <w:rFonts w:ascii="Times New Roman" w:hAnsi="Times New Roman" w:cs="Times New Roman"/>
        </w:rPr>
        <w:t>područja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karakterizira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mali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broj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kvalifi</w:t>
      </w:r>
      <w:r w:rsidR="00885D2B">
        <w:rPr>
          <w:rFonts w:ascii="Times New Roman" w:hAnsi="Times New Roman" w:cs="Times New Roman"/>
        </w:rPr>
        <w:t>ciranih</w:t>
      </w:r>
      <w:proofErr w:type="spellEnd"/>
      <w:r w:rsidRPr="00652D48">
        <w:rPr>
          <w:rFonts w:ascii="Times New Roman" w:hAnsi="Times New Roman" w:cs="Times New Roman"/>
        </w:rPr>
        <w:t xml:space="preserve"> i </w:t>
      </w:r>
      <w:proofErr w:type="spellStart"/>
      <w:r w:rsidRPr="00652D48">
        <w:rPr>
          <w:rFonts w:ascii="Times New Roman" w:hAnsi="Times New Roman" w:cs="Times New Roman"/>
        </w:rPr>
        <w:t>tehnički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sposobnih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ponu</w:t>
      </w:r>
      <w:r w:rsidR="00885D2B">
        <w:rPr>
          <w:rFonts w:ascii="Times New Roman" w:hAnsi="Times New Roman" w:cs="Times New Roman"/>
        </w:rPr>
        <w:t>ditelja</w:t>
      </w:r>
      <w:proofErr w:type="spellEnd"/>
      <w:r w:rsidRPr="00652D48">
        <w:rPr>
          <w:rFonts w:ascii="Times New Roman" w:hAnsi="Times New Roman" w:cs="Times New Roman"/>
        </w:rPr>
        <w:t xml:space="preserve">, </w:t>
      </w:r>
      <w:proofErr w:type="spellStart"/>
      <w:r w:rsidRPr="00652D48">
        <w:rPr>
          <w:rFonts w:ascii="Times New Roman" w:hAnsi="Times New Roman" w:cs="Times New Roman"/>
        </w:rPr>
        <w:t>visoka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tržišna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koncentracija</w:t>
      </w:r>
      <w:proofErr w:type="spellEnd"/>
      <w:r w:rsidRPr="00652D48">
        <w:rPr>
          <w:rFonts w:ascii="Times New Roman" w:hAnsi="Times New Roman" w:cs="Times New Roman"/>
        </w:rPr>
        <w:t xml:space="preserve"> i </w:t>
      </w:r>
      <w:proofErr w:type="spellStart"/>
      <w:r w:rsidR="00885D2B">
        <w:rPr>
          <w:rFonts w:ascii="Times New Roman" w:hAnsi="Times New Roman" w:cs="Times New Roman"/>
        </w:rPr>
        <w:t>k</w:t>
      </w:r>
      <w:r w:rsidRPr="00652D48">
        <w:rPr>
          <w:rFonts w:ascii="Times New Roman" w:hAnsi="Times New Roman" w:cs="Times New Roman"/>
        </w:rPr>
        <w:t>ronično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nizak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prosjek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ponuda</w:t>
      </w:r>
      <w:proofErr w:type="spellEnd"/>
      <w:r w:rsidRPr="00652D48">
        <w:rPr>
          <w:rFonts w:ascii="Times New Roman" w:hAnsi="Times New Roman" w:cs="Times New Roman"/>
        </w:rPr>
        <w:t xml:space="preserve">, </w:t>
      </w:r>
      <w:proofErr w:type="spellStart"/>
      <w:r w:rsidRPr="00652D48">
        <w:rPr>
          <w:rFonts w:ascii="Times New Roman" w:hAnsi="Times New Roman" w:cs="Times New Roman"/>
        </w:rPr>
        <w:t>što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ukazuje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na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strukturno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ograničeno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tržište</w:t>
      </w:r>
      <w:proofErr w:type="spellEnd"/>
      <w:r w:rsidRPr="00652D48">
        <w:rPr>
          <w:rFonts w:ascii="Times New Roman" w:hAnsi="Times New Roman" w:cs="Times New Roman"/>
        </w:rPr>
        <w:t xml:space="preserve"> i </w:t>
      </w:r>
      <w:proofErr w:type="spellStart"/>
      <w:r w:rsidRPr="00652D48">
        <w:rPr>
          <w:rFonts w:ascii="Times New Roman" w:hAnsi="Times New Roman" w:cs="Times New Roman"/>
        </w:rPr>
        <w:t>smanjen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potencijal</w:t>
      </w:r>
      <w:proofErr w:type="spellEnd"/>
      <w:r w:rsidRPr="00652D48">
        <w:rPr>
          <w:rFonts w:ascii="Times New Roman" w:hAnsi="Times New Roman" w:cs="Times New Roman"/>
        </w:rPr>
        <w:t xml:space="preserve"> za </w:t>
      </w:r>
      <w:proofErr w:type="spellStart"/>
      <w:r w:rsidRPr="00652D48">
        <w:rPr>
          <w:rFonts w:ascii="Times New Roman" w:hAnsi="Times New Roman" w:cs="Times New Roman"/>
        </w:rPr>
        <w:t>stvarno</w:t>
      </w:r>
      <w:proofErr w:type="spellEnd"/>
      <w:r w:rsidRPr="00652D48">
        <w:rPr>
          <w:rFonts w:ascii="Times New Roman" w:hAnsi="Times New Roman" w:cs="Times New Roman"/>
        </w:rPr>
        <w:t xml:space="preserve"> </w:t>
      </w:r>
      <w:proofErr w:type="spellStart"/>
      <w:r w:rsidRPr="00652D48">
        <w:rPr>
          <w:rFonts w:ascii="Times New Roman" w:hAnsi="Times New Roman" w:cs="Times New Roman"/>
        </w:rPr>
        <w:t>nadmetanje</w:t>
      </w:r>
      <w:proofErr w:type="spellEnd"/>
      <w:r w:rsidRPr="00652D48">
        <w:rPr>
          <w:rFonts w:ascii="Times New Roman" w:hAnsi="Times New Roman" w:cs="Times New Roman"/>
        </w:rPr>
        <w:t>.</w:t>
      </w:r>
    </w:p>
    <w:p w14:paraId="69F8B05A" w14:textId="77777777" w:rsidR="0021204D" w:rsidRPr="0021204D" w:rsidRDefault="004F4BCE" w:rsidP="00652D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79CFBB">
          <v:rect id="_x0000_i1028" style="width:0;height:1.5pt" o:hralign="center" o:hrstd="t" o:hr="t" fillcolor="#a0a0a0" stroked="f"/>
        </w:pict>
      </w:r>
    </w:p>
    <w:p w14:paraId="04926735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2.5.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Koncentracija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(2022)</w:t>
      </w:r>
    </w:p>
    <w:p w14:paraId="7F8E0F0D" w14:textId="5E5141FB" w:rsidR="0021204D" w:rsidRPr="0021204D" w:rsidRDefault="0021204D" w:rsidP="00747F8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Grupe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</w:t>
      </w:r>
      <w:r w:rsidR="005A14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ditelja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konsorciji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7E46BC6" w14:textId="77777777" w:rsidR="0021204D" w:rsidRPr="0021204D" w:rsidRDefault="0021204D" w:rsidP="00747F8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1.510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(0,69% po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broju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0045F0F1" w14:textId="5D979F27" w:rsidR="00DB129C" w:rsidRPr="00DB129C" w:rsidRDefault="0021204D" w:rsidP="00DB129C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919,36 mil. KM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oko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20,84%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ukupne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B2B04C" w14:textId="5AC36A4F" w:rsidR="0021204D" w:rsidRDefault="0021204D" w:rsidP="00DB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 radovima se procjenjuje da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2–3 najveće </w:t>
      </w:r>
      <w:r w:rsidR="005A145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tvtke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drže većinu (&gt;60%) tržišta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F0EF5DA" w14:textId="6F5080EF" w:rsidR="00DB129C" w:rsidRPr="00E274AC" w:rsidRDefault="00DB129C" w:rsidP="00DB129C">
      <w:pPr>
        <w:jc w:val="both"/>
        <w:rPr>
          <w:rFonts w:ascii="Times New Roman" w:hAnsi="Times New Roman" w:cs="Times New Roman"/>
          <w:bCs/>
          <w:lang w:val="pt-BR"/>
        </w:rPr>
      </w:pPr>
      <w:r w:rsidRPr="00E274AC">
        <w:rPr>
          <w:rFonts w:ascii="Times New Roman" w:hAnsi="Times New Roman" w:cs="Times New Roman"/>
          <w:lang w:val="pt-BR"/>
        </w:rPr>
        <w:t xml:space="preserve">Ukupan broj dodijeljenih ugovora u 2022. godini iznosio je </w:t>
      </w:r>
      <w:r w:rsidRPr="00E274AC">
        <w:rPr>
          <w:rFonts w:ascii="Times New Roman" w:hAnsi="Times New Roman" w:cs="Times New Roman"/>
          <w:bCs/>
          <w:lang w:val="pt-BR"/>
        </w:rPr>
        <w:t>216.039.</w:t>
      </w:r>
      <w:r w:rsidRPr="00E274AC">
        <w:rPr>
          <w:rFonts w:ascii="Times New Roman" w:hAnsi="Times New Roman" w:cs="Times New Roman"/>
          <w:b/>
          <w:lang w:val="pt-BR"/>
        </w:rPr>
        <w:t xml:space="preserve"> </w:t>
      </w:r>
      <w:r w:rsidRPr="00E274AC">
        <w:rPr>
          <w:rFonts w:ascii="Times New Roman" w:hAnsi="Times New Roman" w:cs="Times New Roman"/>
          <w:bCs/>
          <w:lang w:val="pt-BR"/>
        </w:rPr>
        <w:t>Od ukupnog broj dodijeljenih ugovora, grupi ponu</w:t>
      </w:r>
      <w:r w:rsidR="005A145F">
        <w:rPr>
          <w:rFonts w:ascii="Times New Roman" w:hAnsi="Times New Roman" w:cs="Times New Roman"/>
          <w:bCs/>
          <w:lang w:val="pt-BR"/>
        </w:rPr>
        <w:t>ditelja</w:t>
      </w:r>
      <w:r w:rsidRPr="00E274AC">
        <w:rPr>
          <w:rFonts w:ascii="Times New Roman" w:hAnsi="Times New Roman" w:cs="Times New Roman"/>
          <w:bCs/>
          <w:lang w:val="pt-BR"/>
        </w:rPr>
        <w:t xml:space="preserve"> je dodijeljeno 1.510 ugovora ili 0.69% od ukupnog broja dodijeljenih ugovora.</w:t>
      </w:r>
    </w:p>
    <w:p w14:paraId="046ADF27" w14:textId="4E6ACA69" w:rsidR="00DB129C" w:rsidRPr="00E274AC" w:rsidRDefault="00DB129C" w:rsidP="00DB129C">
      <w:pPr>
        <w:jc w:val="both"/>
        <w:rPr>
          <w:rFonts w:ascii="Times New Roman" w:hAnsi="Times New Roman" w:cs="Times New Roman"/>
          <w:lang w:val="pt-BR"/>
        </w:rPr>
      </w:pPr>
      <w:r w:rsidRPr="00E274AC">
        <w:rPr>
          <w:rFonts w:ascii="Times New Roman" w:hAnsi="Times New Roman" w:cs="Times New Roman"/>
          <w:bCs/>
          <w:lang w:val="pt-BR"/>
        </w:rPr>
        <w:t>Ukupna vrijednost dodijeljenih ugovora u postupcima javnih nabav</w:t>
      </w:r>
      <w:r w:rsidR="005A145F">
        <w:rPr>
          <w:rFonts w:ascii="Times New Roman" w:hAnsi="Times New Roman" w:cs="Times New Roman"/>
          <w:bCs/>
          <w:lang w:val="pt-BR"/>
        </w:rPr>
        <w:t>a</w:t>
      </w:r>
      <w:r w:rsidRPr="00E274AC">
        <w:rPr>
          <w:rFonts w:ascii="Times New Roman" w:hAnsi="Times New Roman" w:cs="Times New Roman"/>
          <w:bCs/>
          <w:lang w:val="pt-BR"/>
        </w:rPr>
        <w:t xml:space="preserve"> u 2022. godini iznosila je </w:t>
      </w:r>
      <w:r w:rsidRPr="00E274AC">
        <w:rPr>
          <w:rFonts w:ascii="Times New Roman" w:hAnsi="Times New Roman" w:cs="Times New Roman"/>
          <w:lang w:val="pt-BR"/>
        </w:rPr>
        <w:t>4.410.241.494,50 KM. Vrijednost dodijeljenih ugovora grupi ponu</w:t>
      </w:r>
      <w:r w:rsidR="005A145F">
        <w:rPr>
          <w:rFonts w:ascii="Times New Roman" w:hAnsi="Times New Roman" w:cs="Times New Roman"/>
          <w:lang w:val="pt-BR"/>
        </w:rPr>
        <w:t>ditelja</w:t>
      </w:r>
      <w:r w:rsidRPr="00E274AC">
        <w:rPr>
          <w:rFonts w:ascii="Times New Roman" w:hAnsi="Times New Roman" w:cs="Times New Roman"/>
          <w:lang w:val="pt-BR"/>
        </w:rPr>
        <w:t xml:space="preserve"> iznosila je </w:t>
      </w:r>
      <w:r w:rsidRPr="00E274AC">
        <w:rPr>
          <w:rFonts w:ascii="Times New Roman" w:hAnsi="Times New Roman" w:cs="Times New Roman"/>
          <w:color w:val="000000"/>
          <w:lang w:val="pt-BR"/>
        </w:rPr>
        <w:t xml:space="preserve">919.360.725,77 </w:t>
      </w:r>
      <w:r w:rsidRPr="00E274AC">
        <w:rPr>
          <w:rFonts w:ascii="Times New Roman" w:hAnsi="Times New Roman" w:cs="Times New Roman"/>
          <w:lang w:val="pt-BR"/>
        </w:rPr>
        <w:t>KM, odnosno 20.84 % ukupne vrijednosti svih dodijeljenih ugovora.</w:t>
      </w:r>
    </w:p>
    <w:p w14:paraId="70D4CED0" w14:textId="77777777" w:rsidR="00DB129C" w:rsidRPr="0021204D" w:rsidRDefault="00DB129C" w:rsidP="00DB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12FC329A" w14:textId="05B94305" w:rsidR="0046676F" w:rsidRDefault="00541E8F" w:rsidP="0046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lastRenderedPageBreak/>
        <w:t>Učinak</w:t>
      </w:r>
      <w:r w:rsidR="0021204D" w:rsidRPr="0046676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3211B70B" w14:textId="7BF02E5F" w:rsidR="0021204D" w:rsidRPr="0046676F" w:rsidRDefault="0046676F" w:rsidP="00466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46676F">
        <w:rPr>
          <w:rFonts w:ascii="Times New Roman" w:hAnsi="Times New Roman" w:cs="Times New Roman"/>
          <w:lang w:val="pt-BR"/>
        </w:rPr>
        <w:t>Ovakva tržišna struktura stvara značajne s</w:t>
      </w:r>
      <w:r w:rsidR="0094642E">
        <w:rPr>
          <w:rFonts w:ascii="Times New Roman" w:hAnsi="Times New Roman" w:cs="Times New Roman"/>
          <w:lang w:val="pt-BR"/>
        </w:rPr>
        <w:t>ustavne</w:t>
      </w:r>
      <w:r w:rsidRPr="0046676F">
        <w:rPr>
          <w:rFonts w:ascii="Times New Roman" w:hAnsi="Times New Roman" w:cs="Times New Roman"/>
          <w:lang w:val="pt-BR"/>
        </w:rPr>
        <w:t xml:space="preserve"> rizike: povećava se vjerovatnoća formiranja oligopola i neformalnog usklađivanja cijena, što </w:t>
      </w:r>
      <w:r w:rsidR="0094642E">
        <w:rPr>
          <w:rFonts w:ascii="Times New Roman" w:hAnsi="Times New Roman" w:cs="Times New Roman"/>
          <w:lang w:val="pt-BR"/>
        </w:rPr>
        <w:t>izravno</w:t>
      </w:r>
      <w:r w:rsidRPr="0046676F">
        <w:rPr>
          <w:rFonts w:ascii="Times New Roman" w:hAnsi="Times New Roman" w:cs="Times New Roman"/>
          <w:lang w:val="pt-BR"/>
        </w:rPr>
        <w:t xml:space="preserve"> utiče na rast troškova javnih nabav</w:t>
      </w:r>
      <w:r w:rsidR="0094642E">
        <w:rPr>
          <w:rFonts w:ascii="Times New Roman" w:hAnsi="Times New Roman" w:cs="Times New Roman"/>
          <w:lang w:val="pt-BR"/>
        </w:rPr>
        <w:t>a</w:t>
      </w:r>
      <w:r w:rsidRPr="0046676F">
        <w:rPr>
          <w:rFonts w:ascii="Times New Roman" w:hAnsi="Times New Roman" w:cs="Times New Roman"/>
          <w:lang w:val="pt-BR"/>
        </w:rPr>
        <w:t xml:space="preserve">. Istovremeno, male i srednje </w:t>
      </w:r>
      <w:r w:rsidR="0094642E">
        <w:rPr>
          <w:rFonts w:ascii="Times New Roman" w:hAnsi="Times New Roman" w:cs="Times New Roman"/>
          <w:lang w:val="pt-BR"/>
        </w:rPr>
        <w:t>tvrtke</w:t>
      </w:r>
      <w:r w:rsidRPr="0046676F">
        <w:rPr>
          <w:rFonts w:ascii="Times New Roman" w:hAnsi="Times New Roman" w:cs="Times New Roman"/>
          <w:lang w:val="pt-BR"/>
        </w:rPr>
        <w:t xml:space="preserve"> nailaze na visoke ulazne barijere, čime je njihov pristup tržištu ograničen ili potpuno onemogućen. Dodatno, tržište gubi elastičnost – smanjuje se mogućnost prilagođavanja promjenama cijena, tehnologija i potražnje – što dugoročno destabiliz</w:t>
      </w:r>
      <w:r w:rsidR="0094642E">
        <w:rPr>
          <w:rFonts w:ascii="Times New Roman" w:hAnsi="Times New Roman" w:cs="Times New Roman"/>
          <w:lang w:val="pt-BR"/>
        </w:rPr>
        <w:t>ira</w:t>
      </w:r>
      <w:r w:rsidRPr="0046676F">
        <w:rPr>
          <w:rFonts w:ascii="Times New Roman" w:hAnsi="Times New Roman" w:cs="Times New Roman"/>
          <w:lang w:val="pt-BR"/>
        </w:rPr>
        <w:t xml:space="preserve"> konkurentsku dinamiku i dovodi do nižeg kvaliteta i povećanih fiskalnih rizika.</w:t>
      </w:r>
      <w:r w:rsidR="004F4BCE">
        <w:rPr>
          <w:rFonts w:ascii="Times New Roman" w:eastAsia="Times New Roman" w:hAnsi="Times New Roman" w:cs="Times New Roman"/>
          <w:kern w:val="0"/>
          <w14:ligatures w14:val="none"/>
        </w:rPr>
        <w:pict w14:anchorId="7E22EFC7">
          <v:rect id="_x0000_i1029" style="width:0;height:1.5pt" o:hralign="center" o:hrstd="t" o:hr="t" fillcolor="#a0a0a0" stroked="f"/>
        </w:pict>
      </w:r>
    </w:p>
    <w:p w14:paraId="6CA7F8F6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2.6. Razlozi poništavanja postupaka (2022)</w:t>
      </w:r>
    </w:p>
    <w:p w14:paraId="0306D8A7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Glavni razlozi:</w:t>
      </w:r>
    </w:p>
    <w:p w14:paraId="38B225B5" w14:textId="77777777" w:rsidR="0021204D" w:rsidRPr="0021204D" w:rsidRDefault="0021204D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Nema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čisti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indikator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slabe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konkurencije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5D5C96" w14:textId="1D1D7923" w:rsidR="0021204D" w:rsidRPr="0021204D" w:rsidRDefault="0021204D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Sve ponude neprihvatljive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u</w:t>
      </w:r>
      <w:r w:rsidR="005A145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vjeti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neusklađeni s tržištem.</w:t>
      </w:r>
    </w:p>
    <w:p w14:paraId="09B5AA15" w14:textId="37003F9F" w:rsidR="0021204D" w:rsidRPr="0021204D" w:rsidRDefault="00D066CF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Pog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reške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</w:t>
      </w:r>
      <w:proofErr w:type="spellStart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dokumentaciji</w:t>
      </w:r>
      <w:proofErr w:type="spellEnd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neusaglašenost</w:t>
      </w:r>
      <w:proofErr w:type="spellEnd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tendera</w:t>
      </w:r>
      <w:proofErr w:type="spellEnd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4A94F7" w14:textId="58443342" w:rsidR="0021204D" w:rsidRPr="0021204D" w:rsidRDefault="0021204D" w:rsidP="00747F8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Pre</w:t>
      </w:r>
      <w:r w:rsidR="00D066C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koračenje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D066C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proračuna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rast cijena i nerealno planiranje.</w:t>
      </w:r>
    </w:p>
    <w:p w14:paraId="5D417715" w14:textId="461C0FE8" w:rsidR="0021204D" w:rsidRPr="00A11363" w:rsidRDefault="00541E8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Učinak</w:t>
      </w:r>
      <w:r w:rsidR="0021204D" w:rsidRPr="00A1136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6E839137" w14:textId="04B08AFD" w:rsidR="0021204D" w:rsidRPr="00A11363" w:rsidRDefault="00A11363" w:rsidP="00A1136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A11363">
        <w:rPr>
          <w:rFonts w:ascii="Times New Roman" w:hAnsi="Times New Roman" w:cs="Times New Roman"/>
          <w:lang w:val="pt-BR"/>
        </w:rPr>
        <w:t>Niska konkurencija i izostanak adekvatnog tržišnog odziva proizvode niz negativnih posljedica. Ugovorn</w:t>
      </w:r>
      <w:r w:rsidR="00D066CF">
        <w:rPr>
          <w:rFonts w:ascii="Times New Roman" w:hAnsi="Times New Roman" w:cs="Times New Roman"/>
          <w:lang w:val="pt-BR"/>
        </w:rPr>
        <w:t>a</w:t>
      </w:r>
      <w:r w:rsidRPr="00A11363">
        <w:rPr>
          <w:rFonts w:ascii="Times New Roman" w:hAnsi="Times New Roman" w:cs="Times New Roman"/>
          <w:lang w:val="pt-BR"/>
        </w:rPr>
        <w:t xml:space="preserve"> </w:t>
      </w:r>
      <w:r w:rsidR="00D066CF">
        <w:rPr>
          <w:rFonts w:ascii="Times New Roman" w:hAnsi="Times New Roman" w:cs="Times New Roman"/>
          <w:lang w:val="pt-BR"/>
        </w:rPr>
        <w:t>tijela</w:t>
      </w:r>
      <w:r w:rsidRPr="00A11363">
        <w:rPr>
          <w:rFonts w:ascii="Times New Roman" w:hAnsi="Times New Roman" w:cs="Times New Roman"/>
          <w:lang w:val="pt-BR"/>
        </w:rPr>
        <w:t xml:space="preserve"> sve češće moraju ponavljati postupke, što </w:t>
      </w:r>
      <w:r w:rsidR="00D066CF">
        <w:rPr>
          <w:rFonts w:ascii="Times New Roman" w:hAnsi="Times New Roman" w:cs="Times New Roman"/>
          <w:lang w:val="pt-BR"/>
        </w:rPr>
        <w:t>izravno</w:t>
      </w:r>
      <w:r w:rsidRPr="00A11363">
        <w:rPr>
          <w:rFonts w:ascii="Times New Roman" w:hAnsi="Times New Roman" w:cs="Times New Roman"/>
          <w:lang w:val="pt-BR"/>
        </w:rPr>
        <w:t xml:space="preserve"> povećava administrativne troškove i produžava vrijeme naba</w:t>
      </w:r>
      <w:r w:rsidR="00D066CF">
        <w:rPr>
          <w:rFonts w:ascii="Times New Roman" w:hAnsi="Times New Roman" w:cs="Times New Roman"/>
          <w:lang w:val="pt-BR"/>
        </w:rPr>
        <w:t>v</w:t>
      </w:r>
      <w:r w:rsidRPr="00A11363">
        <w:rPr>
          <w:rFonts w:ascii="Times New Roman" w:hAnsi="Times New Roman" w:cs="Times New Roman"/>
          <w:lang w:val="pt-BR"/>
        </w:rPr>
        <w:t>e. Istovremeno dolazi do pada povjerenja tržišta, jer ponovljeni tenderi signaliziraju nestabilnost i smanjuju interes potencijalnih ponu</w:t>
      </w:r>
      <w:r w:rsidR="00D066CF">
        <w:rPr>
          <w:rFonts w:ascii="Times New Roman" w:hAnsi="Times New Roman" w:cs="Times New Roman"/>
          <w:lang w:val="pt-BR"/>
        </w:rPr>
        <w:t>ditelja</w:t>
      </w:r>
      <w:r w:rsidRPr="00A11363">
        <w:rPr>
          <w:rFonts w:ascii="Times New Roman" w:hAnsi="Times New Roman" w:cs="Times New Roman"/>
          <w:lang w:val="pt-BR"/>
        </w:rPr>
        <w:t>. Posebno zabrinjava činjenica da u ponovljenim postupcima broj ponuda često bude još manji, što dodatno pogoršava konkurentske u</w:t>
      </w:r>
      <w:r w:rsidR="00D066CF">
        <w:rPr>
          <w:rFonts w:ascii="Times New Roman" w:hAnsi="Times New Roman" w:cs="Times New Roman"/>
          <w:lang w:val="pt-BR"/>
        </w:rPr>
        <w:t>vjete</w:t>
      </w:r>
      <w:r w:rsidRPr="00A11363">
        <w:rPr>
          <w:rFonts w:ascii="Times New Roman" w:hAnsi="Times New Roman" w:cs="Times New Roman"/>
          <w:lang w:val="pt-BR"/>
        </w:rPr>
        <w:t xml:space="preserve"> i povećava rizik od prelaska tržišta u stanje </w:t>
      </w:r>
      <w:r w:rsidR="00D066CF">
        <w:rPr>
          <w:rFonts w:ascii="Times New Roman" w:hAnsi="Times New Roman" w:cs="Times New Roman"/>
          <w:lang w:val="pt-BR"/>
        </w:rPr>
        <w:t>k</w:t>
      </w:r>
      <w:r w:rsidRPr="00A11363">
        <w:rPr>
          <w:rFonts w:ascii="Times New Roman" w:hAnsi="Times New Roman" w:cs="Times New Roman"/>
          <w:lang w:val="pt-BR"/>
        </w:rPr>
        <w:t>ronično niske konkurencije.</w:t>
      </w:r>
    </w:p>
    <w:p w14:paraId="4866D7ED" w14:textId="77777777" w:rsidR="0021204D" w:rsidRPr="00CC308F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2.7. Dodatni faktori (2022)</w:t>
      </w:r>
    </w:p>
    <w:p w14:paraId="486D50EE" w14:textId="77777777" w:rsidR="00CC308F" w:rsidRPr="00CC308F" w:rsidRDefault="00CC308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e-aukcije</w:t>
      </w:r>
    </w:p>
    <w:p w14:paraId="24C6925B" w14:textId="28B07EBD" w:rsidR="00CC308F" w:rsidRPr="00CC308F" w:rsidRDefault="00CC308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</w:t>
      </w:r>
      <w:r w:rsidR="00D066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e-aukcija bilježi 13.629 provedenih aukcija koje su rezultirale sa 11.803 zaključena ugovora, uz prosječno smanjenje cijena od 7,87%. Iako je </w:t>
      </w:r>
      <w:r w:rsidR="005A145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učinak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ušteda mjerljiv i pozitivan, ovi rezultati pokazuju da je aukcija </w:t>
      </w:r>
      <w:r w:rsidR="00D066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učinkovita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prvenstveno tamo gdje već postoji osnovni </w:t>
      </w:r>
      <w:r w:rsidR="00D066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razina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konkurencije; u sektorima sa dominacijom jedne ponude (single-bid) </w:t>
      </w:r>
      <w:r w:rsidR="00541E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učinci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ostaju ograničeni ili potpuno izostaju.</w:t>
      </w:r>
    </w:p>
    <w:p w14:paraId="70E96301" w14:textId="58676B8A" w:rsidR="00CC308F" w:rsidRPr="00CC308F" w:rsidRDefault="00CC308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Centralizirane nabave</w:t>
      </w:r>
    </w:p>
    <w:p w14:paraId="4488152C" w14:textId="7EEEA6E0" w:rsidR="00CC308F" w:rsidRPr="00CC308F" w:rsidRDefault="00E760F4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Opseg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centraliziranih nabav</w:t>
      </w:r>
      <w:r w:rsidR="00D066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iznosio je 9,86 miliona KM, odnosno svega 0,22% ukupne vrijednosti javnih nabav</w:t>
      </w:r>
      <w:r w:rsidR="00D066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što je zanemarljiv udio u odnosu na potencijal. Ovaj izuzetno ni</w:t>
      </w:r>
      <w:r w:rsidR="00D066C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ska razina</w:t>
      </w:r>
      <w:r w:rsidR="00CC308F"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ukazuje da tržišni kapaciteti i institucionalni mehanizmi centralizacije nisu dovoljno razvijeni da bi uticali na konkurenciju, cijene ili standardizaciju procesa.</w:t>
      </w:r>
    </w:p>
    <w:p w14:paraId="33A123E8" w14:textId="77777777" w:rsidR="00CC308F" w:rsidRPr="00CC308F" w:rsidRDefault="00CC308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lastRenderedPageBreak/>
        <w:t>Okvirni sporazumi</w:t>
      </w:r>
    </w:p>
    <w:p w14:paraId="47EB5CD6" w14:textId="69682415" w:rsidR="00CC308F" w:rsidRPr="00CC308F" w:rsidRDefault="00CC308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Okvirni sporazumi ostvarili su vrijednost od 972,6 miliona KM, što predstavlja oko 24% ukupne vrijednosti s</w:t>
      </w:r>
      <w:r w:rsidR="005A145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ustava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 Ovaj instrument ima značajan potencijal da stabilizira tržište, smanji administrativno opterećenje i postigne ekonomije o</w:t>
      </w:r>
      <w:r w:rsidR="00E760F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psega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 Međutim, istovremeno nosi i rizik „zaključavanja tržišta“, jer dugoročne višegodišnje strukture mogu ograničiti pristup novih ponu</w:t>
      </w:r>
      <w:r w:rsidR="00052DE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dodatno </w:t>
      </w:r>
      <w:r w:rsidR="0052763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učvrstiti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dominantne dobavljače.</w:t>
      </w:r>
    </w:p>
    <w:p w14:paraId="2B556A9D" w14:textId="77777777" w:rsidR="00CC308F" w:rsidRPr="00CC308F" w:rsidRDefault="00CC308F" w:rsidP="00747F81">
      <w:pPr>
        <w:pStyle w:val="ListParagraph"/>
        <w:numPr>
          <w:ilvl w:val="0"/>
          <w:numId w:val="7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Lotovi</w:t>
      </w:r>
    </w:p>
    <w:p w14:paraId="06E7DFF5" w14:textId="24215137" w:rsidR="00CC308F" w:rsidRPr="00CC308F" w:rsidRDefault="00CC308F" w:rsidP="00CC30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Podjela na lotove pokazuje izrazito pozitivan </w:t>
      </w:r>
      <w:r w:rsidR="00052DE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učinak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 nabav</w:t>
      </w:r>
      <w:r w:rsidR="00052DE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roba, gdje povećava broj ponuda i otvara prostor za </w:t>
      </w:r>
      <w:r w:rsidR="00052DE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sudjelovanje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MSP. Međutim, u radovima se </w:t>
      </w:r>
      <w:r w:rsidR="005A145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učinak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pokazuje ograničenim, jer tehnički, licencni i kapacitetski zahtjevi </w:t>
      </w:r>
      <w:r w:rsidR="005E46C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 biti 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favoriz</w:t>
      </w:r>
      <w:r w:rsidR="00052DE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iraju</w:t>
      </w:r>
      <w:r w:rsidRPr="00CC30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mali broj velikih operatera, što smanjuje funkcionalni utjecaj lotiranja na konkurenciju.</w:t>
      </w:r>
    </w:p>
    <w:p w14:paraId="20E4B74D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814D78">
          <v:rect id="_x0000_i1030" style="width:0;height:1.5pt" o:hralign="center" o:hrstd="t" o:hr="t" fillcolor="#a0a0a0" stroked="f"/>
        </w:pict>
      </w:r>
    </w:p>
    <w:p w14:paraId="0158CDF5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2.8.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Ključni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nalaz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za 2022.</w:t>
      </w:r>
    </w:p>
    <w:p w14:paraId="46E1E055" w14:textId="5D014341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Formalno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raznovrsne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procedure, e-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aukcije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okvirni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sporazumi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ali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E46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bitna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konkurencija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je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slaba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267FCC9" w14:textId="77777777" w:rsidR="0021204D" w:rsidRPr="0021204D" w:rsidRDefault="0021204D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prosjek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od 2,14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A59A381" w14:textId="77777777" w:rsidR="0021204D" w:rsidRPr="0021204D" w:rsidRDefault="0021204D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visoki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udjeli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single-bid</w:t>
      </w:r>
      <w:proofErr w:type="gram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postupaka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BE268B2" w14:textId="77777777" w:rsidR="0021204D" w:rsidRPr="0021204D" w:rsidRDefault="0021204D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koncentracija vrijednosti u malom broju velikih igrača,</w:t>
      </w:r>
    </w:p>
    <w:p w14:paraId="67D776E3" w14:textId="77777777" w:rsidR="0021204D" w:rsidRDefault="0021204D" w:rsidP="00747F8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zanemariva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centralizacija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51A739" w14:textId="1C97F8B4" w:rsidR="007D1368" w:rsidRDefault="007D1368" w:rsidP="007D1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Iako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F57E98">
        <w:rPr>
          <w:rFonts w:ascii="Times New Roman" w:eastAsia="Times New Roman" w:hAnsi="Times New Roman" w:cs="Times New Roman"/>
          <w:kern w:val="0"/>
          <w14:ligatures w14:val="none"/>
        </w:rPr>
        <w:t>ustav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formalno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obuhva</w:t>
      </w:r>
      <w:r w:rsidR="00F57E98">
        <w:rPr>
          <w:rFonts w:ascii="Times New Roman" w:eastAsia="Times New Roman" w:hAnsi="Times New Roman" w:cs="Times New Roman"/>
          <w:kern w:val="0"/>
          <w14:ligatures w14:val="none"/>
        </w:rPr>
        <w:t>ća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različite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procedure, e-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aukcije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okvirne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sporazume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suštinska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konkurencija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ostaje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slaba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Prosječan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iznosi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samo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2,14,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udio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single-bid</w:t>
      </w:r>
      <w:proofErr w:type="gram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postupaka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visok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nabav</w:t>
      </w:r>
      <w:r w:rsidR="00F57E98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koncentri</w:t>
      </w:r>
      <w:r w:rsidR="00F57E98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Pr="007D1368">
        <w:rPr>
          <w:rFonts w:ascii="Times New Roman" w:eastAsia="Times New Roman" w:hAnsi="Times New Roman" w:cs="Times New Roman"/>
          <w:kern w:val="0"/>
          <w14:ligatures w14:val="none"/>
        </w:rPr>
        <w:t>ana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malom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broju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velikih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ponu</w:t>
      </w:r>
      <w:r w:rsidR="00F57E98">
        <w:rPr>
          <w:rFonts w:ascii="Times New Roman" w:eastAsia="Times New Roman" w:hAnsi="Times New Roman" w:cs="Times New Roman"/>
          <w:kern w:val="0"/>
          <w14:ligatures w14:val="none"/>
        </w:rPr>
        <w:t>ditelja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centralizirane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skoro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zanemarive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Ovakva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tržišna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struktura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pokazuje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raspoloživi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instrumenti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proizvode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očekivani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konkurentski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pritisak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2B168B2" w14:textId="6B2844CA" w:rsidR="007D1368" w:rsidRPr="007D1368" w:rsidRDefault="007D1368" w:rsidP="007D1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Potrebno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aktivno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povećati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stvarnu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konkurenciju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širenje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tržišnog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57E98">
        <w:rPr>
          <w:rFonts w:ascii="Times New Roman" w:eastAsia="Times New Roman" w:hAnsi="Times New Roman" w:cs="Times New Roman"/>
          <w:kern w:val="0"/>
          <w14:ligatures w14:val="none"/>
        </w:rPr>
        <w:t>sudjelovanja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prije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svega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jačanjem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uloge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MSP,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povećanjem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E760F4">
        <w:rPr>
          <w:rFonts w:ascii="Times New Roman" w:eastAsia="Times New Roman" w:hAnsi="Times New Roman" w:cs="Times New Roman"/>
          <w:kern w:val="0"/>
          <w14:ligatures w14:val="none"/>
        </w:rPr>
        <w:t>psega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centraliziranih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nabav</w:t>
      </w:r>
      <w:r w:rsidR="00F57E98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dosljednom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primjenom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podjele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lotove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ciljanom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primjenom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konkurentskih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procedura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Istovremeno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treba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smanjiti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udjele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postupaka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koji po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prirodi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nose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nizak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konkurentski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potencijal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(single-bid, PBO, DS) u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oblastima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gdje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tržište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omogućava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veći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57E98">
        <w:rPr>
          <w:rFonts w:ascii="Times New Roman" w:eastAsia="Times New Roman" w:hAnsi="Times New Roman" w:cs="Times New Roman"/>
          <w:kern w:val="0"/>
          <w14:ligatures w14:val="none"/>
        </w:rPr>
        <w:t>sudionika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. Time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bi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F57E98">
        <w:rPr>
          <w:rFonts w:ascii="Times New Roman" w:eastAsia="Times New Roman" w:hAnsi="Times New Roman" w:cs="Times New Roman"/>
          <w:kern w:val="0"/>
          <w14:ligatures w14:val="none"/>
        </w:rPr>
        <w:t>sigurao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jači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tržišni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pritisak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razbijanje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koncentracije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ravnomjerniji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pristup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tržištu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različite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kategorije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ponu</w:t>
      </w:r>
      <w:r w:rsidR="00F57E98">
        <w:rPr>
          <w:rFonts w:ascii="Times New Roman" w:eastAsia="Times New Roman" w:hAnsi="Times New Roman" w:cs="Times New Roman"/>
          <w:kern w:val="0"/>
          <w14:ligatures w14:val="none"/>
        </w:rPr>
        <w:t>ditelja</w:t>
      </w:r>
      <w:proofErr w:type="spellEnd"/>
      <w:r w:rsidRPr="007D13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C87507" w14:textId="77777777" w:rsidR="007D1368" w:rsidRPr="0021204D" w:rsidRDefault="007D1368" w:rsidP="007D13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F8D6FA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85DAA5">
          <v:rect id="_x0000_i1031" style="width:0;height:1.5pt" o:hralign="center" o:hrstd="t" o:hr="t" fillcolor="#a0a0a0" stroked="f"/>
        </w:pict>
      </w:r>
    </w:p>
    <w:p w14:paraId="185C1FF8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pt-BR"/>
          <w14:ligatures w14:val="none"/>
        </w:rPr>
        <w:t>3. Konkurencija u 2023. godini</w:t>
      </w:r>
    </w:p>
    <w:p w14:paraId="21433D32" w14:textId="77777777" w:rsidR="0021204D" w:rsidRPr="005233A7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lastRenderedPageBreak/>
        <w:t>3.1. Broj i struktura ponuda – pogoršanje stanja</w:t>
      </w:r>
    </w:p>
    <w:p w14:paraId="2B8F614F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 2023. godini konkurencija se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dodatno pogoršava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3694EBBE" w14:textId="77777777" w:rsidR="0021204D" w:rsidRPr="0021204D" w:rsidRDefault="0021204D" w:rsidP="00747F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prosječan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primljenih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1,62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A249BE9" w14:textId="77777777" w:rsidR="0021204D" w:rsidRDefault="0021204D" w:rsidP="00747F8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prosječan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prihvatljivih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1,49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547462" w14:textId="3001AC3E" w:rsidR="00DB129C" w:rsidRPr="0021204D" w:rsidRDefault="00DB129C" w:rsidP="00DB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4B399BCB" wp14:editId="0E0F24E2">
            <wp:extent cx="5943600" cy="2990215"/>
            <wp:effectExtent l="0" t="0" r="0" b="635"/>
            <wp:docPr id="16002395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84C4F7-5D5E-0F48-F3A0-093E8C5FCE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97E02DA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To znači da je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većina postupaka praktično imala samo 1 ponudu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ili 2 u najboljem slučaju.</w:t>
      </w:r>
    </w:p>
    <w:p w14:paraId="32402A6E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a)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Poglavlje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 (2023)</w:t>
      </w:r>
    </w:p>
    <w:p w14:paraId="62A89181" w14:textId="77777777" w:rsidR="0021204D" w:rsidRPr="0021204D" w:rsidRDefault="0021204D" w:rsidP="00747F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4.015.518.672,64 KM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79,36%),</w:t>
      </w:r>
    </w:p>
    <w:p w14:paraId="77E2F001" w14:textId="77777777" w:rsidR="0021204D" w:rsidRDefault="0021204D" w:rsidP="00747F8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65.506 (26,86%)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957"/>
        <w:gridCol w:w="2595"/>
        <w:gridCol w:w="1716"/>
        <w:gridCol w:w="1899"/>
        <w:gridCol w:w="2103"/>
      </w:tblGrid>
      <w:tr w:rsidR="00067A3D" w:rsidRPr="00F715CD" w14:paraId="0405A26F" w14:textId="77777777" w:rsidTr="00E0702C">
        <w:trPr>
          <w:trHeight w:val="645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10B4D0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AF54870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Poglavlje</w:t>
            </w:r>
            <w:proofErr w:type="spellEnd"/>
            <w:r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EE89EFE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Poglavlje</w:t>
            </w:r>
            <w:proofErr w:type="spellEnd"/>
            <w:r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V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D2859DA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Aneks</w:t>
            </w:r>
            <w:proofErr w:type="spellEnd"/>
            <w:r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00BE966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Ukupno</w:t>
            </w:r>
            <w:proofErr w:type="spellEnd"/>
            <w:r w:rsidRPr="00067A3D">
              <w:rPr>
                <w:rFonts w:ascii="Times New Roman" w:hAnsi="Times New Roman" w:cs="Times New Roman"/>
                <w:sz w:val="18"/>
                <w:szCs w:val="18"/>
              </w:rPr>
              <w:t xml:space="preserve"> KM</w:t>
            </w:r>
          </w:p>
        </w:tc>
      </w:tr>
      <w:tr w:rsidR="00067A3D" w:rsidRPr="00F715CD" w14:paraId="34423041" w14:textId="77777777" w:rsidTr="00E0702C">
        <w:trPr>
          <w:trHeight w:val="64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7352E86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KM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E46BF57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4.015.518.672,64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2765B0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328.139.437,20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174FF29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716.474.015,77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06D82DC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5.060.132.125,61</w:t>
            </w:r>
          </w:p>
        </w:tc>
      </w:tr>
      <w:tr w:rsidR="00067A3D" w:rsidRPr="00F715CD" w14:paraId="13B2F916" w14:textId="77777777" w:rsidTr="00E0702C">
        <w:trPr>
          <w:trHeight w:val="54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1EAAD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4F078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79.36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1A34EF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6.48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DB315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14.16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BE2A8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4058004F" w14:textId="1CC7123A" w:rsidR="00067A3D" w:rsidRPr="0021204D" w:rsidRDefault="00067A3D" w:rsidP="0006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1C12F9F0" wp14:editId="1F0B2EE0">
            <wp:extent cx="5868035" cy="2584174"/>
            <wp:effectExtent l="0" t="0" r="18415" b="6985"/>
            <wp:docPr id="16988173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785EA6A-210D-71FD-3CD1-2E1D4A5A02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080"/>
        <w:gridCol w:w="2070"/>
        <w:gridCol w:w="2160"/>
        <w:gridCol w:w="2430"/>
        <w:gridCol w:w="1530"/>
      </w:tblGrid>
      <w:tr w:rsidR="00067A3D" w:rsidRPr="00B87290" w14:paraId="4AE1F202" w14:textId="77777777" w:rsidTr="00E0702C">
        <w:trPr>
          <w:jc w:val="center"/>
        </w:trPr>
        <w:tc>
          <w:tcPr>
            <w:tcW w:w="9270" w:type="dxa"/>
            <w:gridSpan w:val="5"/>
            <w:shd w:val="clear" w:color="auto" w:fill="FFFF00"/>
          </w:tcPr>
          <w:p w14:paraId="3301107A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Ukupni broj zaključenih i dodijeljenih ugovora u 2023. godini</w:t>
            </w:r>
          </w:p>
        </w:tc>
      </w:tr>
      <w:tr w:rsidR="00067A3D" w:rsidRPr="00B87290" w14:paraId="15C87DF2" w14:textId="77777777" w:rsidTr="00E0702C">
        <w:trPr>
          <w:jc w:val="center"/>
        </w:trPr>
        <w:tc>
          <w:tcPr>
            <w:tcW w:w="1080" w:type="dxa"/>
            <w:shd w:val="clear" w:color="auto" w:fill="FFFF00"/>
          </w:tcPr>
          <w:p w14:paraId="590E20D3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00"/>
          </w:tcPr>
          <w:p w14:paraId="0E0E204A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Poglavlje I</w:t>
            </w:r>
          </w:p>
        </w:tc>
        <w:tc>
          <w:tcPr>
            <w:tcW w:w="2160" w:type="dxa"/>
            <w:shd w:val="clear" w:color="auto" w:fill="FFFF00"/>
          </w:tcPr>
          <w:p w14:paraId="4EF95DFF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Poglavlje V</w:t>
            </w:r>
          </w:p>
        </w:tc>
        <w:tc>
          <w:tcPr>
            <w:tcW w:w="2430" w:type="dxa"/>
            <w:shd w:val="clear" w:color="auto" w:fill="FFFF00"/>
          </w:tcPr>
          <w:p w14:paraId="4F97D26F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Aneks II</w:t>
            </w:r>
          </w:p>
        </w:tc>
        <w:tc>
          <w:tcPr>
            <w:tcW w:w="1530" w:type="dxa"/>
            <w:shd w:val="clear" w:color="auto" w:fill="FFFF00"/>
          </w:tcPr>
          <w:p w14:paraId="0E70BB27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Ukupno</w:t>
            </w:r>
          </w:p>
        </w:tc>
      </w:tr>
      <w:tr w:rsidR="00067A3D" w:rsidRPr="00B87290" w14:paraId="0B571929" w14:textId="77777777" w:rsidTr="00E0702C">
        <w:trPr>
          <w:trHeight w:val="242"/>
          <w:jc w:val="center"/>
        </w:trPr>
        <w:tc>
          <w:tcPr>
            <w:tcW w:w="1080" w:type="dxa"/>
            <w:shd w:val="clear" w:color="auto" w:fill="FFFF00"/>
          </w:tcPr>
          <w:p w14:paraId="479457EC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2070" w:type="dxa"/>
            <w:shd w:val="clear" w:color="auto" w:fill="FFFF00"/>
            <w:vAlign w:val="bottom"/>
          </w:tcPr>
          <w:p w14:paraId="20FDDC9E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65.506</w:t>
            </w:r>
          </w:p>
        </w:tc>
        <w:tc>
          <w:tcPr>
            <w:tcW w:w="2160" w:type="dxa"/>
            <w:shd w:val="clear" w:color="auto" w:fill="FFFF00"/>
          </w:tcPr>
          <w:p w14:paraId="460551BF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154.840</w:t>
            </w:r>
          </w:p>
        </w:tc>
        <w:tc>
          <w:tcPr>
            <w:tcW w:w="2430" w:type="dxa"/>
            <w:shd w:val="clear" w:color="auto" w:fill="FFFF00"/>
          </w:tcPr>
          <w:p w14:paraId="551DD6A4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23.514</w:t>
            </w:r>
          </w:p>
        </w:tc>
        <w:tc>
          <w:tcPr>
            <w:tcW w:w="1530" w:type="dxa"/>
            <w:shd w:val="clear" w:color="auto" w:fill="FFFF00"/>
          </w:tcPr>
          <w:p w14:paraId="74C02BA4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243.860</w:t>
            </w:r>
          </w:p>
        </w:tc>
      </w:tr>
      <w:tr w:rsidR="00067A3D" w:rsidRPr="00B87290" w14:paraId="3D34CB9A" w14:textId="77777777" w:rsidTr="00E0702C">
        <w:trPr>
          <w:jc w:val="center"/>
        </w:trPr>
        <w:tc>
          <w:tcPr>
            <w:tcW w:w="1080" w:type="dxa"/>
          </w:tcPr>
          <w:p w14:paraId="276CE0A2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70" w:type="dxa"/>
          </w:tcPr>
          <w:p w14:paraId="16F27D2C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26.86</w:t>
            </w:r>
          </w:p>
        </w:tc>
        <w:tc>
          <w:tcPr>
            <w:tcW w:w="2160" w:type="dxa"/>
          </w:tcPr>
          <w:p w14:paraId="6FB8BE0C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63.50</w:t>
            </w:r>
          </w:p>
        </w:tc>
        <w:tc>
          <w:tcPr>
            <w:tcW w:w="2430" w:type="dxa"/>
          </w:tcPr>
          <w:p w14:paraId="1D5FD3FD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9.64</w:t>
            </w:r>
          </w:p>
        </w:tc>
        <w:tc>
          <w:tcPr>
            <w:tcW w:w="1530" w:type="dxa"/>
          </w:tcPr>
          <w:p w14:paraId="00544DAE" w14:textId="77777777" w:rsidR="00067A3D" w:rsidRPr="00067A3D" w:rsidRDefault="00067A3D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7A3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033972FE" w14:textId="14E6FC94" w:rsidR="00067A3D" w:rsidRDefault="00067A3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noProof/>
        </w:rPr>
        <w:drawing>
          <wp:inline distT="0" distB="0" distL="0" distR="0" wp14:anchorId="7C746F56" wp14:editId="19E03194">
            <wp:extent cx="5883965" cy="2743200"/>
            <wp:effectExtent l="0" t="0" r="2540" b="0"/>
            <wp:docPr id="15507521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AE53D14-C04E-BD9A-E62F-616C43D20B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D452D4" w14:textId="77777777" w:rsidR="00067A3D" w:rsidRDefault="00067A3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581E5704" w14:textId="5BD85A11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Otvoreni postupak ostaje dominantan, ali sada na niž</w:t>
      </w:r>
      <w:r w:rsidR="0050379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oj razini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konkurencije:</w:t>
      </w:r>
    </w:p>
    <w:p w14:paraId="1EFD09A6" w14:textId="77777777" w:rsidR="0021204D" w:rsidRPr="0021204D" w:rsidRDefault="0021204D" w:rsidP="00747F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značajan dio otvorenih postupaka ima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samo jednu ponudu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C67ECEF" w14:textId="77777777" w:rsidR="0021204D" w:rsidRDefault="0021204D" w:rsidP="00747F8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PBO raste na cca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306,4 mil.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KM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7,63%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Poglavlja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I).</w:t>
      </w:r>
    </w:p>
    <w:p w14:paraId="51FAA0A0" w14:textId="77777777" w:rsidR="00717159" w:rsidRPr="00717159" w:rsidRDefault="00717159" w:rsidP="00717159">
      <w:pPr>
        <w:pStyle w:val="ListParagraph"/>
        <w:jc w:val="both"/>
        <w:rPr>
          <w:i/>
          <w:iCs/>
          <w:color w:val="000000"/>
        </w:rPr>
      </w:pPr>
    </w:p>
    <w:p w14:paraId="0A725570" w14:textId="2A76A460" w:rsidR="00717159" w:rsidRPr="00717159" w:rsidRDefault="00717159" w:rsidP="00717159">
      <w:pPr>
        <w:pStyle w:val="ListParagraph"/>
        <w:ind w:left="0"/>
        <w:jc w:val="both"/>
        <w:rPr>
          <w:rFonts w:ascii="Times New Roman" w:hAnsi="Times New Roman" w:cs="Times New Roman"/>
          <w:i/>
          <w:iCs/>
          <w:color w:val="000000"/>
        </w:rPr>
      </w:pPr>
      <w:proofErr w:type="spellStart"/>
      <w:r w:rsidRPr="00717159">
        <w:rPr>
          <w:rFonts w:ascii="Times New Roman" w:hAnsi="Times New Roman" w:cs="Times New Roman"/>
        </w:rPr>
        <w:lastRenderedPageBreak/>
        <w:t>Vrijednost</w:t>
      </w:r>
      <w:proofErr w:type="spellEnd"/>
      <w:r w:rsidRPr="00717159">
        <w:rPr>
          <w:rFonts w:ascii="Times New Roman" w:hAnsi="Times New Roman" w:cs="Times New Roman"/>
        </w:rPr>
        <w:t xml:space="preserve"> </w:t>
      </w:r>
      <w:proofErr w:type="spellStart"/>
      <w:r w:rsidRPr="00717159">
        <w:rPr>
          <w:rFonts w:ascii="Times New Roman" w:hAnsi="Times New Roman" w:cs="Times New Roman"/>
        </w:rPr>
        <w:t>dodijeljenih</w:t>
      </w:r>
      <w:proofErr w:type="spellEnd"/>
      <w:r w:rsidRPr="00717159">
        <w:rPr>
          <w:rFonts w:ascii="Times New Roman" w:hAnsi="Times New Roman" w:cs="Times New Roman"/>
        </w:rPr>
        <w:t xml:space="preserve"> </w:t>
      </w:r>
      <w:proofErr w:type="spellStart"/>
      <w:r w:rsidRPr="00717159">
        <w:rPr>
          <w:rFonts w:ascii="Times New Roman" w:hAnsi="Times New Roman" w:cs="Times New Roman"/>
        </w:rPr>
        <w:t>ugovora</w:t>
      </w:r>
      <w:proofErr w:type="spellEnd"/>
      <w:r w:rsidRPr="00717159">
        <w:rPr>
          <w:rFonts w:ascii="Times New Roman" w:hAnsi="Times New Roman" w:cs="Times New Roman"/>
        </w:rPr>
        <w:t xml:space="preserve"> u </w:t>
      </w:r>
      <w:proofErr w:type="spellStart"/>
      <w:r w:rsidRPr="00717159">
        <w:rPr>
          <w:rFonts w:ascii="Times New Roman" w:hAnsi="Times New Roman" w:cs="Times New Roman"/>
        </w:rPr>
        <w:t>pregovaračkom</w:t>
      </w:r>
      <w:proofErr w:type="spellEnd"/>
      <w:r w:rsidRPr="00717159">
        <w:rPr>
          <w:rFonts w:ascii="Times New Roman" w:hAnsi="Times New Roman" w:cs="Times New Roman"/>
        </w:rPr>
        <w:t xml:space="preserve"> </w:t>
      </w:r>
      <w:proofErr w:type="spellStart"/>
      <w:r w:rsidRPr="00717159">
        <w:rPr>
          <w:rFonts w:ascii="Times New Roman" w:hAnsi="Times New Roman" w:cs="Times New Roman"/>
        </w:rPr>
        <w:t>postupku</w:t>
      </w:r>
      <w:proofErr w:type="spellEnd"/>
      <w:r w:rsidRPr="00717159">
        <w:rPr>
          <w:rFonts w:ascii="Times New Roman" w:hAnsi="Times New Roman" w:cs="Times New Roman"/>
        </w:rPr>
        <w:t xml:space="preserve"> bez </w:t>
      </w:r>
      <w:proofErr w:type="spellStart"/>
      <w:r w:rsidRPr="00717159">
        <w:rPr>
          <w:rFonts w:ascii="Times New Roman" w:hAnsi="Times New Roman" w:cs="Times New Roman"/>
        </w:rPr>
        <w:t>objave</w:t>
      </w:r>
      <w:proofErr w:type="spellEnd"/>
      <w:r w:rsidRPr="00717159">
        <w:rPr>
          <w:rFonts w:ascii="Times New Roman" w:hAnsi="Times New Roman" w:cs="Times New Roman"/>
        </w:rPr>
        <w:t xml:space="preserve"> </w:t>
      </w:r>
      <w:proofErr w:type="spellStart"/>
      <w:r w:rsidRPr="00717159">
        <w:rPr>
          <w:rFonts w:ascii="Times New Roman" w:hAnsi="Times New Roman" w:cs="Times New Roman"/>
        </w:rPr>
        <w:t>oba</w:t>
      </w:r>
      <w:r w:rsidR="00503797">
        <w:rPr>
          <w:rFonts w:ascii="Times New Roman" w:hAnsi="Times New Roman" w:cs="Times New Roman"/>
        </w:rPr>
        <w:t>vijesti</w:t>
      </w:r>
      <w:proofErr w:type="spellEnd"/>
      <w:r w:rsidRPr="00717159">
        <w:rPr>
          <w:rFonts w:ascii="Times New Roman" w:hAnsi="Times New Roman" w:cs="Times New Roman"/>
        </w:rPr>
        <w:t xml:space="preserve"> u 2023. </w:t>
      </w:r>
      <w:proofErr w:type="spellStart"/>
      <w:r w:rsidRPr="00717159">
        <w:rPr>
          <w:rFonts w:ascii="Times New Roman" w:hAnsi="Times New Roman" w:cs="Times New Roman"/>
        </w:rPr>
        <w:t>godini</w:t>
      </w:r>
      <w:proofErr w:type="spellEnd"/>
      <w:r w:rsidRPr="00717159">
        <w:rPr>
          <w:rFonts w:ascii="Times New Roman" w:hAnsi="Times New Roman" w:cs="Times New Roman"/>
        </w:rPr>
        <w:t xml:space="preserve"> je </w:t>
      </w:r>
      <w:proofErr w:type="spellStart"/>
      <w:r w:rsidRPr="00717159">
        <w:rPr>
          <w:rFonts w:ascii="Times New Roman" w:hAnsi="Times New Roman" w:cs="Times New Roman"/>
        </w:rPr>
        <w:t>iznosio</w:t>
      </w:r>
      <w:proofErr w:type="spellEnd"/>
      <w:r w:rsidRPr="00717159">
        <w:rPr>
          <w:rFonts w:ascii="Times New Roman" w:hAnsi="Times New Roman" w:cs="Times New Roman"/>
        </w:rPr>
        <w:t xml:space="preserve"> </w:t>
      </w:r>
      <w:proofErr w:type="spellStart"/>
      <w:r w:rsidRPr="00717159">
        <w:rPr>
          <w:rFonts w:ascii="Times New Roman" w:hAnsi="Times New Roman" w:cs="Times New Roman"/>
        </w:rPr>
        <w:t>ukupno</w:t>
      </w:r>
      <w:proofErr w:type="spellEnd"/>
      <w:r w:rsidRPr="00717159">
        <w:rPr>
          <w:rFonts w:ascii="Times New Roman" w:hAnsi="Times New Roman" w:cs="Times New Roman"/>
        </w:rPr>
        <w:t xml:space="preserve"> </w:t>
      </w:r>
      <w:r w:rsidRPr="00717159">
        <w:rPr>
          <w:rFonts w:ascii="Times New Roman" w:hAnsi="Times New Roman" w:cs="Times New Roman"/>
          <w:b/>
          <w:color w:val="000000"/>
        </w:rPr>
        <w:t xml:space="preserve">306.440.397,12 </w:t>
      </w:r>
      <w:r w:rsidRPr="00717159">
        <w:rPr>
          <w:rFonts w:ascii="Times New Roman" w:hAnsi="Times New Roman" w:cs="Times New Roman"/>
          <w:color w:val="000000"/>
        </w:rPr>
        <w:t xml:space="preserve">KM </w:t>
      </w:r>
      <w:proofErr w:type="spellStart"/>
      <w:r w:rsidRPr="00717159">
        <w:rPr>
          <w:rFonts w:ascii="Times New Roman" w:hAnsi="Times New Roman" w:cs="Times New Roman"/>
          <w:color w:val="000000"/>
        </w:rPr>
        <w:t>ili</w:t>
      </w:r>
      <w:proofErr w:type="spellEnd"/>
      <w:r w:rsidRPr="00717159">
        <w:rPr>
          <w:rFonts w:ascii="Times New Roman" w:hAnsi="Times New Roman" w:cs="Times New Roman"/>
          <w:color w:val="000000"/>
        </w:rPr>
        <w:t xml:space="preserve"> </w:t>
      </w:r>
      <w:r w:rsidRPr="00717159">
        <w:rPr>
          <w:rFonts w:ascii="Times New Roman" w:hAnsi="Times New Roman" w:cs="Times New Roman"/>
          <w:b/>
          <w:bCs/>
          <w:color w:val="000000"/>
        </w:rPr>
        <w:t xml:space="preserve">7.63 </w:t>
      </w:r>
      <w:r w:rsidRPr="00717159">
        <w:rPr>
          <w:rFonts w:ascii="Times New Roman" w:hAnsi="Times New Roman" w:cs="Times New Roman"/>
          <w:color w:val="000000"/>
        </w:rPr>
        <w:t xml:space="preserve">% </w:t>
      </w:r>
      <w:proofErr w:type="spellStart"/>
      <w:r w:rsidRPr="00717159">
        <w:rPr>
          <w:rFonts w:ascii="Times New Roman" w:hAnsi="Times New Roman" w:cs="Times New Roman"/>
          <w:color w:val="000000"/>
        </w:rPr>
        <w:t>od</w:t>
      </w:r>
      <w:proofErr w:type="spellEnd"/>
      <w:r w:rsidRPr="007171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17159">
        <w:rPr>
          <w:rFonts w:ascii="Times New Roman" w:hAnsi="Times New Roman" w:cs="Times New Roman"/>
          <w:color w:val="000000"/>
        </w:rPr>
        <w:t>svih</w:t>
      </w:r>
      <w:proofErr w:type="spellEnd"/>
      <w:r w:rsidRPr="007171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17159">
        <w:rPr>
          <w:rFonts w:ascii="Times New Roman" w:hAnsi="Times New Roman" w:cs="Times New Roman"/>
          <w:color w:val="000000"/>
        </w:rPr>
        <w:t>dodijeljenih</w:t>
      </w:r>
      <w:proofErr w:type="spellEnd"/>
      <w:r w:rsidRPr="007171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17159">
        <w:rPr>
          <w:rFonts w:ascii="Times New Roman" w:hAnsi="Times New Roman" w:cs="Times New Roman"/>
          <w:color w:val="000000"/>
        </w:rPr>
        <w:t>ugovora</w:t>
      </w:r>
      <w:proofErr w:type="spellEnd"/>
      <w:r w:rsidRPr="00717159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717159">
        <w:rPr>
          <w:rFonts w:ascii="Times New Roman" w:hAnsi="Times New Roman" w:cs="Times New Roman"/>
          <w:color w:val="000000"/>
        </w:rPr>
        <w:t>postupcima</w:t>
      </w:r>
      <w:proofErr w:type="spellEnd"/>
      <w:r w:rsidRPr="00717159">
        <w:rPr>
          <w:rFonts w:ascii="Times New Roman" w:hAnsi="Times New Roman" w:cs="Times New Roman"/>
          <w:color w:val="000000"/>
        </w:rPr>
        <w:t xml:space="preserve"> „</w:t>
      </w:r>
      <w:proofErr w:type="spellStart"/>
      <w:r w:rsidRPr="00717159">
        <w:rPr>
          <w:rFonts w:ascii="Times New Roman" w:hAnsi="Times New Roman" w:cs="Times New Roman"/>
          <w:color w:val="000000"/>
        </w:rPr>
        <w:t>Poglavlja</w:t>
      </w:r>
      <w:proofErr w:type="spellEnd"/>
      <w:r w:rsidRPr="0071715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717159">
        <w:rPr>
          <w:rFonts w:ascii="Times New Roman" w:hAnsi="Times New Roman" w:cs="Times New Roman"/>
          <w:color w:val="000000"/>
        </w:rPr>
        <w:t>I“</w:t>
      </w:r>
      <w:proofErr w:type="gramEnd"/>
      <w:r w:rsidRPr="00717159">
        <w:rPr>
          <w:rFonts w:ascii="Times New Roman" w:hAnsi="Times New Roman" w:cs="Times New Roman"/>
          <w:color w:val="000000" w:themeColor="text1"/>
        </w:rPr>
        <w:t>,</w:t>
      </w:r>
      <w:r w:rsidRPr="00717159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 w:rsidRPr="00717159">
        <w:rPr>
          <w:rFonts w:ascii="Times New Roman" w:hAnsi="Times New Roman" w:cs="Times New Roman"/>
        </w:rPr>
        <w:t>odnosno</w:t>
      </w:r>
      <w:proofErr w:type="spellEnd"/>
      <w:r w:rsidRPr="00717159">
        <w:rPr>
          <w:rFonts w:ascii="Times New Roman" w:hAnsi="Times New Roman" w:cs="Times New Roman"/>
        </w:rPr>
        <w:t xml:space="preserve"> 6.05 % </w:t>
      </w:r>
      <w:proofErr w:type="spellStart"/>
      <w:r w:rsidRPr="00717159">
        <w:rPr>
          <w:rFonts w:ascii="Times New Roman" w:hAnsi="Times New Roman" w:cs="Times New Roman"/>
        </w:rPr>
        <w:t>od</w:t>
      </w:r>
      <w:proofErr w:type="spellEnd"/>
      <w:r w:rsidRPr="00717159">
        <w:rPr>
          <w:rFonts w:ascii="Times New Roman" w:hAnsi="Times New Roman" w:cs="Times New Roman"/>
        </w:rPr>
        <w:t xml:space="preserve"> </w:t>
      </w:r>
      <w:proofErr w:type="spellStart"/>
      <w:r w:rsidRPr="00717159">
        <w:rPr>
          <w:rFonts w:ascii="Times New Roman" w:hAnsi="Times New Roman" w:cs="Times New Roman"/>
        </w:rPr>
        <w:t>svih</w:t>
      </w:r>
      <w:proofErr w:type="spellEnd"/>
      <w:r w:rsidRPr="00717159">
        <w:rPr>
          <w:rFonts w:ascii="Times New Roman" w:hAnsi="Times New Roman" w:cs="Times New Roman"/>
        </w:rPr>
        <w:t xml:space="preserve"> </w:t>
      </w:r>
      <w:proofErr w:type="spellStart"/>
      <w:r w:rsidRPr="00717159">
        <w:rPr>
          <w:rFonts w:ascii="Times New Roman" w:hAnsi="Times New Roman" w:cs="Times New Roman"/>
        </w:rPr>
        <w:t>dodijeljenih</w:t>
      </w:r>
      <w:proofErr w:type="spellEnd"/>
      <w:r w:rsidRPr="00717159">
        <w:rPr>
          <w:rFonts w:ascii="Times New Roman" w:hAnsi="Times New Roman" w:cs="Times New Roman"/>
        </w:rPr>
        <w:t xml:space="preserve"> </w:t>
      </w:r>
      <w:proofErr w:type="spellStart"/>
      <w:r w:rsidRPr="00717159">
        <w:rPr>
          <w:rFonts w:ascii="Times New Roman" w:hAnsi="Times New Roman" w:cs="Times New Roman"/>
        </w:rPr>
        <w:t>ugovora</w:t>
      </w:r>
      <w:proofErr w:type="spellEnd"/>
      <w:r w:rsidRPr="00717159">
        <w:rPr>
          <w:rFonts w:ascii="Times New Roman" w:hAnsi="Times New Roman" w:cs="Times New Roman"/>
        </w:rPr>
        <w:t xml:space="preserve"> u 2023. </w:t>
      </w:r>
      <w:proofErr w:type="spellStart"/>
      <w:r w:rsidRPr="00717159">
        <w:rPr>
          <w:rFonts w:ascii="Times New Roman" w:hAnsi="Times New Roman" w:cs="Times New Roman"/>
        </w:rPr>
        <w:t>godini</w:t>
      </w:r>
      <w:proofErr w:type="spellEnd"/>
      <w:r w:rsidRPr="00717159">
        <w:rPr>
          <w:rFonts w:ascii="Times New Roman" w:hAnsi="Times New Roman" w:cs="Times New Roman"/>
        </w:rPr>
        <w:t>.</w:t>
      </w:r>
    </w:p>
    <w:p w14:paraId="7BA42698" w14:textId="4D53D11F" w:rsidR="00067A3D" w:rsidRPr="0021204D" w:rsidRDefault="00067A3D" w:rsidP="00067A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238A6835" wp14:editId="0FCC79D8">
            <wp:extent cx="5905500" cy="2743200"/>
            <wp:effectExtent l="0" t="0" r="0" b="0"/>
            <wp:docPr id="13262940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14BBA7-C356-BAB0-8E61-381428908A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6C8A5F1" w14:textId="3F2700B1" w:rsidR="00920237" w:rsidRPr="00920237" w:rsidRDefault="00920237" w:rsidP="00920237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</w:rPr>
      </w:pPr>
      <w:proofErr w:type="spellStart"/>
      <w:r w:rsidRPr="00920237">
        <w:rPr>
          <w:rFonts w:ascii="Times New Roman" w:hAnsi="Times New Roman" w:cs="Times New Roman"/>
        </w:rPr>
        <w:t>Poruka</w:t>
      </w:r>
      <w:proofErr w:type="spellEnd"/>
      <w:r w:rsidRPr="00920237">
        <w:rPr>
          <w:rFonts w:ascii="Times New Roman" w:hAnsi="Times New Roman" w:cs="Times New Roman"/>
        </w:rPr>
        <w:t xml:space="preserve"> je </w:t>
      </w:r>
      <w:proofErr w:type="spellStart"/>
      <w:r w:rsidRPr="00920237">
        <w:rPr>
          <w:rFonts w:ascii="Times New Roman" w:hAnsi="Times New Roman" w:cs="Times New Roman"/>
        </w:rPr>
        <w:t>zabrinjavajuća</w:t>
      </w:r>
      <w:proofErr w:type="spellEnd"/>
      <w:r w:rsidRPr="00920237">
        <w:rPr>
          <w:rFonts w:ascii="Times New Roman" w:hAnsi="Times New Roman" w:cs="Times New Roman"/>
        </w:rPr>
        <w:t xml:space="preserve">: </w:t>
      </w:r>
      <w:proofErr w:type="spellStart"/>
      <w:r w:rsidRPr="00920237">
        <w:rPr>
          <w:rFonts w:ascii="Times New Roman" w:hAnsi="Times New Roman" w:cs="Times New Roman"/>
        </w:rPr>
        <w:t>čak</w:t>
      </w:r>
      <w:proofErr w:type="spellEnd"/>
      <w:r w:rsidRPr="00920237">
        <w:rPr>
          <w:rFonts w:ascii="Times New Roman" w:hAnsi="Times New Roman" w:cs="Times New Roman"/>
        </w:rPr>
        <w:t xml:space="preserve"> i </w:t>
      </w:r>
      <w:proofErr w:type="spellStart"/>
      <w:r w:rsidRPr="00920237">
        <w:rPr>
          <w:rFonts w:ascii="Times New Roman" w:hAnsi="Times New Roman" w:cs="Times New Roman"/>
        </w:rPr>
        <w:t>otvoreni</w:t>
      </w:r>
      <w:proofErr w:type="spellEnd"/>
      <w:r w:rsidRPr="00920237">
        <w:rPr>
          <w:rFonts w:ascii="Times New Roman" w:hAnsi="Times New Roman" w:cs="Times New Roman"/>
        </w:rPr>
        <w:t xml:space="preserve"> </w:t>
      </w:r>
      <w:proofErr w:type="spellStart"/>
      <w:r w:rsidRPr="00920237">
        <w:rPr>
          <w:rFonts w:ascii="Times New Roman" w:hAnsi="Times New Roman" w:cs="Times New Roman"/>
        </w:rPr>
        <w:t>postupak</w:t>
      </w:r>
      <w:proofErr w:type="spellEnd"/>
      <w:r w:rsidRPr="00920237">
        <w:rPr>
          <w:rFonts w:ascii="Times New Roman" w:hAnsi="Times New Roman" w:cs="Times New Roman"/>
        </w:rPr>
        <w:t xml:space="preserve">, </w:t>
      </w:r>
      <w:proofErr w:type="spellStart"/>
      <w:r w:rsidRPr="00920237">
        <w:rPr>
          <w:rFonts w:ascii="Times New Roman" w:hAnsi="Times New Roman" w:cs="Times New Roman"/>
        </w:rPr>
        <w:t>kao</w:t>
      </w:r>
      <w:proofErr w:type="spellEnd"/>
      <w:r w:rsidRPr="00920237">
        <w:rPr>
          <w:rFonts w:ascii="Times New Roman" w:hAnsi="Times New Roman" w:cs="Times New Roman"/>
        </w:rPr>
        <w:t xml:space="preserve"> </w:t>
      </w:r>
      <w:proofErr w:type="spellStart"/>
      <w:r w:rsidRPr="00920237">
        <w:rPr>
          <w:rFonts w:ascii="Times New Roman" w:hAnsi="Times New Roman" w:cs="Times New Roman"/>
        </w:rPr>
        <w:t>najtransparentniji</w:t>
      </w:r>
      <w:proofErr w:type="spellEnd"/>
      <w:r w:rsidRPr="00920237">
        <w:rPr>
          <w:rFonts w:ascii="Times New Roman" w:hAnsi="Times New Roman" w:cs="Times New Roman"/>
        </w:rPr>
        <w:t xml:space="preserve"> </w:t>
      </w:r>
      <w:proofErr w:type="spellStart"/>
      <w:r w:rsidRPr="00920237">
        <w:rPr>
          <w:rFonts w:ascii="Times New Roman" w:hAnsi="Times New Roman" w:cs="Times New Roman"/>
        </w:rPr>
        <w:t>oblik</w:t>
      </w:r>
      <w:proofErr w:type="spellEnd"/>
      <w:r w:rsidRPr="00920237">
        <w:rPr>
          <w:rFonts w:ascii="Times New Roman" w:hAnsi="Times New Roman" w:cs="Times New Roman"/>
        </w:rPr>
        <w:t xml:space="preserve"> </w:t>
      </w:r>
      <w:proofErr w:type="spellStart"/>
      <w:r w:rsidRPr="00920237">
        <w:rPr>
          <w:rFonts w:ascii="Times New Roman" w:hAnsi="Times New Roman" w:cs="Times New Roman"/>
        </w:rPr>
        <w:t>javne</w:t>
      </w:r>
      <w:proofErr w:type="spellEnd"/>
      <w:r w:rsidRPr="00920237">
        <w:rPr>
          <w:rFonts w:ascii="Times New Roman" w:hAnsi="Times New Roman" w:cs="Times New Roman"/>
        </w:rPr>
        <w:t xml:space="preserve"> </w:t>
      </w:r>
      <w:proofErr w:type="spellStart"/>
      <w:r w:rsidRPr="00920237">
        <w:rPr>
          <w:rFonts w:ascii="Times New Roman" w:hAnsi="Times New Roman" w:cs="Times New Roman"/>
        </w:rPr>
        <w:t>nabave</w:t>
      </w:r>
      <w:proofErr w:type="spellEnd"/>
      <w:r w:rsidRPr="00920237">
        <w:rPr>
          <w:rFonts w:ascii="Times New Roman" w:hAnsi="Times New Roman" w:cs="Times New Roman"/>
        </w:rPr>
        <w:t xml:space="preserve">, </w:t>
      </w:r>
      <w:proofErr w:type="spellStart"/>
      <w:r w:rsidRPr="00920237">
        <w:rPr>
          <w:rFonts w:ascii="Times New Roman" w:hAnsi="Times New Roman" w:cs="Times New Roman"/>
        </w:rPr>
        <w:t>više</w:t>
      </w:r>
      <w:proofErr w:type="spellEnd"/>
      <w:r w:rsidRPr="00920237">
        <w:rPr>
          <w:rFonts w:ascii="Times New Roman" w:hAnsi="Times New Roman" w:cs="Times New Roman"/>
        </w:rPr>
        <w:t xml:space="preserve"> ne </w:t>
      </w:r>
      <w:proofErr w:type="spellStart"/>
      <w:r w:rsidRPr="00920237">
        <w:rPr>
          <w:rFonts w:ascii="Times New Roman" w:hAnsi="Times New Roman" w:cs="Times New Roman"/>
        </w:rPr>
        <w:t>privlači</w:t>
      </w:r>
      <w:proofErr w:type="spellEnd"/>
      <w:r w:rsidRPr="00920237">
        <w:rPr>
          <w:rFonts w:ascii="Times New Roman" w:hAnsi="Times New Roman" w:cs="Times New Roman"/>
        </w:rPr>
        <w:t xml:space="preserve"> </w:t>
      </w:r>
      <w:proofErr w:type="spellStart"/>
      <w:r w:rsidRPr="00920237">
        <w:rPr>
          <w:rFonts w:ascii="Times New Roman" w:hAnsi="Times New Roman" w:cs="Times New Roman"/>
        </w:rPr>
        <w:t>dovoljno</w:t>
      </w:r>
      <w:proofErr w:type="spellEnd"/>
      <w:r w:rsidRPr="00920237">
        <w:rPr>
          <w:rFonts w:ascii="Times New Roman" w:hAnsi="Times New Roman" w:cs="Times New Roman"/>
        </w:rPr>
        <w:t xml:space="preserve"> </w:t>
      </w:r>
      <w:proofErr w:type="spellStart"/>
      <w:r w:rsidR="00503797">
        <w:rPr>
          <w:rFonts w:ascii="Times New Roman" w:hAnsi="Times New Roman" w:cs="Times New Roman"/>
        </w:rPr>
        <w:t>sudionika</w:t>
      </w:r>
      <w:proofErr w:type="spellEnd"/>
      <w:r w:rsidRPr="00920237">
        <w:rPr>
          <w:rFonts w:ascii="Times New Roman" w:hAnsi="Times New Roman" w:cs="Times New Roman"/>
        </w:rPr>
        <w:t xml:space="preserve"> da bi se </w:t>
      </w:r>
      <w:proofErr w:type="spellStart"/>
      <w:r w:rsidRPr="00920237">
        <w:rPr>
          <w:rFonts w:ascii="Times New Roman" w:hAnsi="Times New Roman" w:cs="Times New Roman"/>
        </w:rPr>
        <w:t>ostvarila</w:t>
      </w:r>
      <w:proofErr w:type="spellEnd"/>
      <w:r w:rsidRPr="00920237">
        <w:rPr>
          <w:rFonts w:ascii="Times New Roman" w:hAnsi="Times New Roman" w:cs="Times New Roman"/>
        </w:rPr>
        <w:t xml:space="preserve"> </w:t>
      </w:r>
      <w:proofErr w:type="spellStart"/>
      <w:r w:rsidRPr="00920237">
        <w:rPr>
          <w:rFonts w:ascii="Times New Roman" w:hAnsi="Times New Roman" w:cs="Times New Roman"/>
        </w:rPr>
        <w:t>stvarna</w:t>
      </w:r>
      <w:proofErr w:type="spellEnd"/>
      <w:r w:rsidRPr="00920237">
        <w:rPr>
          <w:rFonts w:ascii="Times New Roman" w:hAnsi="Times New Roman" w:cs="Times New Roman"/>
        </w:rPr>
        <w:t xml:space="preserve"> </w:t>
      </w:r>
      <w:proofErr w:type="spellStart"/>
      <w:r w:rsidRPr="00920237">
        <w:rPr>
          <w:rFonts w:ascii="Times New Roman" w:hAnsi="Times New Roman" w:cs="Times New Roman"/>
        </w:rPr>
        <w:t>konkurencija</w:t>
      </w:r>
      <w:proofErr w:type="spellEnd"/>
      <w:r w:rsidRPr="00920237">
        <w:rPr>
          <w:rFonts w:ascii="Times New Roman" w:hAnsi="Times New Roman" w:cs="Times New Roman"/>
        </w:rPr>
        <w:t>.</w:t>
      </w:r>
    </w:p>
    <w:p w14:paraId="239EAE92" w14:textId="7C507C9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b)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Poglavlje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 (2023)</w:t>
      </w:r>
    </w:p>
    <w:p w14:paraId="199BDDED" w14:textId="77777777" w:rsidR="0021204D" w:rsidRPr="0021204D" w:rsidRDefault="0021204D" w:rsidP="00747F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328.139.437,20 KM (6,48%)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B9D7A22" w14:textId="77777777" w:rsidR="0021204D" w:rsidRPr="0021204D" w:rsidRDefault="0021204D" w:rsidP="00747F8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154.840 (63,50%)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632433" w14:textId="3A65D2AB" w:rsidR="0021204D" w:rsidRPr="0021204D" w:rsidRDefault="00503797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Izravni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sporazum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D7074B1" w14:textId="77777777" w:rsidR="0021204D" w:rsidRPr="0021204D" w:rsidRDefault="0021204D" w:rsidP="00747F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131.741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E39A508" w14:textId="77777777" w:rsidR="0021204D" w:rsidRDefault="0021204D" w:rsidP="00747F8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46,54%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Poglavlja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V.</w:t>
      </w:r>
    </w:p>
    <w:p w14:paraId="65518A6F" w14:textId="50A8D7A9" w:rsidR="004915A2" w:rsidRPr="004915A2" w:rsidRDefault="004915A2" w:rsidP="004915A2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4915A2">
        <w:rPr>
          <w:rFonts w:ascii="Times New Roman" w:hAnsi="Times New Roman" w:cs="Times New Roman"/>
        </w:rPr>
        <w:t>Vrijednost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dodijeljenih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ugovora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putem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="00503797">
        <w:rPr>
          <w:rFonts w:ascii="Times New Roman" w:hAnsi="Times New Roman" w:cs="Times New Roman"/>
        </w:rPr>
        <w:t>izravnog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sporazuma</w:t>
      </w:r>
      <w:proofErr w:type="spellEnd"/>
      <w:r w:rsidRPr="004915A2">
        <w:rPr>
          <w:rFonts w:ascii="Times New Roman" w:hAnsi="Times New Roman" w:cs="Times New Roman"/>
        </w:rPr>
        <w:t xml:space="preserve"> u 2023. </w:t>
      </w:r>
      <w:proofErr w:type="spellStart"/>
      <w:r w:rsidRPr="004915A2">
        <w:rPr>
          <w:rFonts w:ascii="Times New Roman" w:hAnsi="Times New Roman" w:cs="Times New Roman"/>
        </w:rPr>
        <w:t>godini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iznosi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r w:rsidRPr="004915A2">
        <w:rPr>
          <w:rFonts w:ascii="Times New Roman" w:hAnsi="Times New Roman" w:cs="Times New Roman"/>
          <w:b/>
          <w:color w:val="000000"/>
        </w:rPr>
        <w:t xml:space="preserve">152.726.709,17 </w:t>
      </w:r>
      <w:r w:rsidRPr="004915A2">
        <w:rPr>
          <w:rFonts w:ascii="Times New Roman" w:hAnsi="Times New Roman" w:cs="Times New Roman"/>
          <w:color w:val="000000"/>
        </w:rPr>
        <w:t xml:space="preserve">KM </w:t>
      </w:r>
      <w:proofErr w:type="spellStart"/>
      <w:r w:rsidRPr="004915A2">
        <w:rPr>
          <w:rFonts w:ascii="Times New Roman" w:hAnsi="Times New Roman" w:cs="Times New Roman"/>
          <w:color w:val="000000"/>
        </w:rPr>
        <w:t>ili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r w:rsidRPr="004915A2">
        <w:rPr>
          <w:rFonts w:ascii="Times New Roman" w:hAnsi="Times New Roman" w:cs="Times New Roman"/>
        </w:rPr>
        <w:t xml:space="preserve">46.54 </w:t>
      </w:r>
      <w:r w:rsidRPr="004915A2">
        <w:rPr>
          <w:rFonts w:ascii="Times New Roman" w:hAnsi="Times New Roman" w:cs="Times New Roman"/>
          <w:color w:val="000000"/>
        </w:rPr>
        <w:t xml:space="preserve">% </w:t>
      </w:r>
      <w:proofErr w:type="spellStart"/>
      <w:r w:rsidRPr="004915A2">
        <w:rPr>
          <w:rFonts w:ascii="Times New Roman" w:hAnsi="Times New Roman" w:cs="Times New Roman"/>
          <w:color w:val="000000"/>
        </w:rPr>
        <w:t>od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15A2">
        <w:rPr>
          <w:rFonts w:ascii="Times New Roman" w:hAnsi="Times New Roman" w:cs="Times New Roman"/>
          <w:color w:val="000000"/>
        </w:rPr>
        <w:t>svih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15A2">
        <w:rPr>
          <w:rFonts w:ascii="Times New Roman" w:hAnsi="Times New Roman" w:cs="Times New Roman"/>
          <w:color w:val="000000"/>
        </w:rPr>
        <w:t>dodijeljenih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15A2">
        <w:rPr>
          <w:rFonts w:ascii="Times New Roman" w:hAnsi="Times New Roman" w:cs="Times New Roman"/>
          <w:color w:val="000000"/>
        </w:rPr>
        <w:t>ugovora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4915A2">
        <w:rPr>
          <w:rFonts w:ascii="Times New Roman" w:hAnsi="Times New Roman" w:cs="Times New Roman"/>
          <w:color w:val="000000"/>
        </w:rPr>
        <w:t>postupcima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„</w:t>
      </w:r>
      <w:proofErr w:type="spellStart"/>
      <w:r w:rsidRPr="004915A2">
        <w:rPr>
          <w:rFonts w:ascii="Times New Roman" w:hAnsi="Times New Roman" w:cs="Times New Roman"/>
          <w:color w:val="000000"/>
        </w:rPr>
        <w:t>Poglavlja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915A2">
        <w:rPr>
          <w:rFonts w:ascii="Times New Roman" w:hAnsi="Times New Roman" w:cs="Times New Roman"/>
          <w:color w:val="000000"/>
        </w:rPr>
        <w:t>V</w:t>
      </w:r>
      <w:r w:rsidRPr="004915A2">
        <w:rPr>
          <w:rFonts w:ascii="Times New Roman" w:hAnsi="Times New Roman" w:cs="Times New Roman"/>
          <w:color w:val="000000" w:themeColor="text1"/>
        </w:rPr>
        <w:t>“</w:t>
      </w:r>
      <w:proofErr w:type="gramEnd"/>
      <w:r w:rsidRPr="004915A2">
        <w:rPr>
          <w:rFonts w:ascii="Times New Roman" w:hAnsi="Times New Roman" w:cs="Times New Roman"/>
          <w:color w:val="000000" w:themeColor="text1"/>
        </w:rPr>
        <w:t>,</w:t>
      </w:r>
      <w:r w:rsidRPr="004915A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odnosno</w:t>
      </w:r>
      <w:proofErr w:type="spellEnd"/>
      <w:r w:rsidRPr="004915A2">
        <w:rPr>
          <w:rFonts w:ascii="Times New Roman" w:hAnsi="Times New Roman" w:cs="Times New Roman"/>
        </w:rPr>
        <w:t xml:space="preserve"> 3.02% </w:t>
      </w:r>
      <w:proofErr w:type="spellStart"/>
      <w:r w:rsidRPr="004915A2">
        <w:rPr>
          <w:rFonts w:ascii="Times New Roman" w:hAnsi="Times New Roman" w:cs="Times New Roman"/>
        </w:rPr>
        <w:t>od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svih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dodijeljenih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ugovora</w:t>
      </w:r>
      <w:proofErr w:type="spellEnd"/>
      <w:r w:rsidRPr="004915A2">
        <w:rPr>
          <w:rFonts w:ascii="Times New Roman" w:hAnsi="Times New Roman" w:cs="Times New Roman"/>
        </w:rPr>
        <w:t xml:space="preserve"> u 2023. </w:t>
      </w:r>
      <w:proofErr w:type="spellStart"/>
      <w:r w:rsidRPr="004915A2">
        <w:rPr>
          <w:rFonts w:ascii="Times New Roman" w:hAnsi="Times New Roman" w:cs="Times New Roman"/>
        </w:rPr>
        <w:t>godini</w:t>
      </w:r>
      <w:proofErr w:type="spellEnd"/>
      <w:r w:rsidRPr="004915A2">
        <w:rPr>
          <w:rFonts w:ascii="Times New Roman" w:hAnsi="Times New Roman" w:cs="Times New Roman"/>
          <w:color w:val="FF0000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850"/>
        <w:gridCol w:w="2340"/>
      </w:tblGrid>
      <w:tr w:rsidR="004915A2" w:rsidRPr="004A7CFB" w14:paraId="2677AD16" w14:textId="77777777" w:rsidTr="00E0702C">
        <w:trPr>
          <w:trHeight w:val="2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</w:tcPr>
          <w:p w14:paraId="45E424CD" w14:textId="7D241B59" w:rsidR="004915A2" w:rsidRPr="004915A2" w:rsidRDefault="00503797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Izravni</w:t>
            </w:r>
            <w:proofErr w:type="spellEnd"/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915A2"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sporazum</w:t>
            </w:r>
            <w:proofErr w:type="spellEnd"/>
          </w:p>
        </w:tc>
        <w:tc>
          <w:tcPr>
            <w:tcW w:w="3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649647" w14:textId="77777777" w:rsidR="004915A2" w:rsidRPr="004915A2" w:rsidRDefault="004915A2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19E5F86A" w14:textId="77777777" w:rsidR="004915A2" w:rsidRPr="004915A2" w:rsidRDefault="004915A2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15A2" w:rsidRPr="004A7CFB" w14:paraId="3CFFA501" w14:textId="77777777" w:rsidTr="00E0702C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EFC5" w14:textId="77777777" w:rsidR="004915A2" w:rsidRPr="004915A2" w:rsidRDefault="004915A2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63D0B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71.781.270,29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90BF17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57.711</w:t>
            </w:r>
          </w:p>
        </w:tc>
      </w:tr>
      <w:tr w:rsidR="004915A2" w:rsidRPr="004A7CFB" w14:paraId="765D0A55" w14:textId="77777777" w:rsidTr="00E0702C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9F46D" w14:textId="77777777" w:rsidR="004915A2" w:rsidRPr="004915A2" w:rsidRDefault="004915A2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C401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71.654.646,43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B61C00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71.761</w:t>
            </w:r>
          </w:p>
        </w:tc>
      </w:tr>
      <w:tr w:rsidR="004915A2" w:rsidRPr="004A7CFB" w14:paraId="683EE225" w14:textId="77777777" w:rsidTr="00E0702C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25304" w14:textId="77777777" w:rsidR="004915A2" w:rsidRPr="004915A2" w:rsidRDefault="004915A2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Radovi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7AF45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9.290.792,45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ABDCB4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2.269</w:t>
            </w:r>
          </w:p>
        </w:tc>
      </w:tr>
      <w:tr w:rsidR="004915A2" w:rsidRPr="00737BB6" w14:paraId="1B738506" w14:textId="77777777" w:rsidTr="00E0702C">
        <w:trPr>
          <w:trHeight w:val="3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F768FEA" w14:textId="77777777" w:rsidR="004915A2" w:rsidRPr="004915A2" w:rsidRDefault="004915A2" w:rsidP="00E0702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4915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7BE21F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152.726.709,17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9E7822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131.741</w:t>
            </w:r>
          </w:p>
        </w:tc>
      </w:tr>
    </w:tbl>
    <w:p w14:paraId="6DFCE988" w14:textId="77777777" w:rsidR="004915A2" w:rsidRPr="0021204D" w:rsidRDefault="004915A2" w:rsidP="00491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7D1220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Konkurentski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zahtjev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D2D36E2" w14:textId="7C4C3677" w:rsidR="0021204D" w:rsidRPr="0021204D" w:rsidRDefault="0021204D" w:rsidP="00747F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23.099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A9F4D1A" w14:textId="77777777" w:rsidR="0021204D" w:rsidRDefault="0021204D" w:rsidP="00747F8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53,46%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Poglavlja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V.</w:t>
      </w:r>
    </w:p>
    <w:p w14:paraId="03DA3CA6" w14:textId="77777777" w:rsidR="004915A2" w:rsidRPr="004915A2" w:rsidRDefault="004915A2" w:rsidP="004915A2">
      <w:pPr>
        <w:spacing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  <w:proofErr w:type="spellStart"/>
      <w:r w:rsidRPr="004915A2">
        <w:rPr>
          <w:rFonts w:ascii="Times New Roman" w:hAnsi="Times New Roman" w:cs="Times New Roman"/>
        </w:rPr>
        <w:t>Vrijednost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dodijeljenih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ugovora</w:t>
      </w:r>
      <w:proofErr w:type="spellEnd"/>
      <w:r w:rsidRPr="004915A2">
        <w:rPr>
          <w:rFonts w:ascii="Times New Roman" w:hAnsi="Times New Roman" w:cs="Times New Roman"/>
        </w:rPr>
        <w:t xml:space="preserve"> u </w:t>
      </w:r>
      <w:proofErr w:type="spellStart"/>
      <w:r w:rsidRPr="004915A2">
        <w:rPr>
          <w:rFonts w:ascii="Times New Roman" w:hAnsi="Times New Roman" w:cs="Times New Roman"/>
        </w:rPr>
        <w:t>konkurentskom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zahtjevu</w:t>
      </w:r>
      <w:proofErr w:type="spellEnd"/>
      <w:r w:rsidRPr="004915A2">
        <w:rPr>
          <w:rFonts w:ascii="Times New Roman" w:hAnsi="Times New Roman" w:cs="Times New Roman"/>
        </w:rPr>
        <w:t xml:space="preserve"> za </w:t>
      </w:r>
      <w:proofErr w:type="spellStart"/>
      <w:r w:rsidRPr="004915A2">
        <w:rPr>
          <w:rFonts w:ascii="Times New Roman" w:hAnsi="Times New Roman" w:cs="Times New Roman"/>
        </w:rPr>
        <w:t>dostavu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ponuda</w:t>
      </w:r>
      <w:proofErr w:type="spellEnd"/>
      <w:r w:rsidRPr="004915A2">
        <w:rPr>
          <w:rFonts w:ascii="Times New Roman" w:hAnsi="Times New Roman" w:cs="Times New Roman"/>
        </w:rPr>
        <w:t xml:space="preserve"> u 2023. </w:t>
      </w:r>
      <w:proofErr w:type="spellStart"/>
      <w:r w:rsidRPr="004915A2">
        <w:rPr>
          <w:rFonts w:ascii="Times New Roman" w:hAnsi="Times New Roman" w:cs="Times New Roman"/>
        </w:rPr>
        <w:t>godini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iznosi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r w:rsidRPr="004915A2">
        <w:rPr>
          <w:rFonts w:ascii="Times New Roman" w:hAnsi="Times New Roman" w:cs="Times New Roman"/>
          <w:b/>
          <w:bCs/>
          <w:color w:val="000000"/>
        </w:rPr>
        <w:t xml:space="preserve">175.412.728,03 </w:t>
      </w:r>
      <w:r w:rsidRPr="004915A2">
        <w:rPr>
          <w:rFonts w:ascii="Times New Roman" w:hAnsi="Times New Roman" w:cs="Times New Roman"/>
          <w:color w:val="000000"/>
        </w:rPr>
        <w:t xml:space="preserve">KM </w:t>
      </w:r>
      <w:proofErr w:type="spellStart"/>
      <w:r w:rsidRPr="004915A2">
        <w:rPr>
          <w:rFonts w:ascii="Times New Roman" w:hAnsi="Times New Roman" w:cs="Times New Roman"/>
          <w:color w:val="000000"/>
        </w:rPr>
        <w:t>ili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r w:rsidRPr="004915A2">
        <w:rPr>
          <w:rFonts w:ascii="Times New Roman" w:hAnsi="Times New Roman" w:cs="Times New Roman"/>
          <w:b/>
          <w:bCs/>
          <w:color w:val="000000"/>
        </w:rPr>
        <w:t xml:space="preserve">53.46 </w:t>
      </w:r>
      <w:r w:rsidRPr="004915A2">
        <w:rPr>
          <w:rFonts w:ascii="Times New Roman" w:hAnsi="Times New Roman" w:cs="Times New Roman"/>
          <w:color w:val="000000"/>
        </w:rPr>
        <w:t xml:space="preserve">% </w:t>
      </w:r>
      <w:proofErr w:type="spellStart"/>
      <w:r w:rsidRPr="004915A2">
        <w:rPr>
          <w:rFonts w:ascii="Times New Roman" w:hAnsi="Times New Roman" w:cs="Times New Roman"/>
          <w:color w:val="000000"/>
        </w:rPr>
        <w:t>od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15A2">
        <w:rPr>
          <w:rFonts w:ascii="Times New Roman" w:hAnsi="Times New Roman" w:cs="Times New Roman"/>
          <w:color w:val="000000"/>
        </w:rPr>
        <w:t>svih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15A2">
        <w:rPr>
          <w:rFonts w:ascii="Times New Roman" w:hAnsi="Times New Roman" w:cs="Times New Roman"/>
          <w:color w:val="000000"/>
        </w:rPr>
        <w:t>dodijeljenih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915A2">
        <w:rPr>
          <w:rFonts w:ascii="Times New Roman" w:hAnsi="Times New Roman" w:cs="Times New Roman"/>
          <w:color w:val="000000"/>
        </w:rPr>
        <w:t>ugovora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4915A2">
        <w:rPr>
          <w:rFonts w:ascii="Times New Roman" w:hAnsi="Times New Roman" w:cs="Times New Roman"/>
          <w:color w:val="000000"/>
        </w:rPr>
        <w:t>postupcima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„</w:t>
      </w:r>
      <w:proofErr w:type="spellStart"/>
      <w:r w:rsidRPr="004915A2">
        <w:rPr>
          <w:rFonts w:ascii="Times New Roman" w:hAnsi="Times New Roman" w:cs="Times New Roman"/>
          <w:color w:val="000000"/>
        </w:rPr>
        <w:t>Poglavlja</w:t>
      </w:r>
      <w:proofErr w:type="spellEnd"/>
      <w:r w:rsidRPr="004915A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4915A2">
        <w:rPr>
          <w:rFonts w:ascii="Times New Roman" w:hAnsi="Times New Roman" w:cs="Times New Roman"/>
          <w:color w:val="000000"/>
        </w:rPr>
        <w:t>V“</w:t>
      </w:r>
      <w:proofErr w:type="gramEnd"/>
      <w:r w:rsidRPr="004915A2">
        <w:rPr>
          <w:rFonts w:ascii="Times New Roman" w:hAnsi="Times New Roman" w:cs="Times New Roman"/>
          <w:color w:val="000000"/>
        </w:rPr>
        <w:t>,</w:t>
      </w:r>
      <w:r w:rsidRPr="004915A2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odnosno</w:t>
      </w:r>
      <w:proofErr w:type="spellEnd"/>
      <w:r w:rsidRPr="004915A2">
        <w:rPr>
          <w:rFonts w:ascii="Times New Roman" w:hAnsi="Times New Roman" w:cs="Times New Roman"/>
        </w:rPr>
        <w:t xml:space="preserve"> 3.47 % </w:t>
      </w:r>
      <w:proofErr w:type="spellStart"/>
      <w:r w:rsidRPr="004915A2">
        <w:rPr>
          <w:rFonts w:ascii="Times New Roman" w:hAnsi="Times New Roman" w:cs="Times New Roman"/>
        </w:rPr>
        <w:t>od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svih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dodijeljenih</w:t>
      </w:r>
      <w:proofErr w:type="spellEnd"/>
      <w:r w:rsidRPr="004915A2">
        <w:rPr>
          <w:rFonts w:ascii="Times New Roman" w:hAnsi="Times New Roman" w:cs="Times New Roman"/>
        </w:rPr>
        <w:t xml:space="preserve"> </w:t>
      </w:r>
      <w:proofErr w:type="spellStart"/>
      <w:r w:rsidRPr="004915A2">
        <w:rPr>
          <w:rFonts w:ascii="Times New Roman" w:hAnsi="Times New Roman" w:cs="Times New Roman"/>
        </w:rPr>
        <w:t>ugovora</w:t>
      </w:r>
      <w:proofErr w:type="spellEnd"/>
      <w:r w:rsidRPr="004915A2">
        <w:rPr>
          <w:rFonts w:ascii="Times New Roman" w:hAnsi="Times New Roman" w:cs="Times New Roman"/>
        </w:rPr>
        <w:t xml:space="preserve"> u 2023. </w:t>
      </w:r>
      <w:proofErr w:type="spellStart"/>
      <w:r w:rsidRPr="004915A2">
        <w:rPr>
          <w:rFonts w:ascii="Times New Roman" w:hAnsi="Times New Roman" w:cs="Times New Roman"/>
        </w:rPr>
        <w:t>godini</w:t>
      </w:r>
      <w:proofErr w:type="spellEnd"/>
      <w:r w:rsidRPr="004915A2">
        <w:rPr>
          <w:rFonts w:ascii="Times New Roman" w:hAnsi="Times New Roman" w:cs="Times New Roman"/>
        </w:rPr>
        <w:t>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3160"/>
        <w:gridCol w:w="3620"/>
        <w:gridCol w:w="2570"/>
      </w:tblGrid>
      <w:tr w:rsidR="004915A2" w:rsidRPr="00C5296C" w14:paraId="6264B7BE" w14:textId="77777777" w:rsidTr="00E0702C">
        <w:trPr>
          <w:trHeight w:val="51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vAlign w:val="bottom"/>
            <w:hideMark/>
          </w:tcPr>
          <w:p w14:paraId="070AB629" w14:textId="77777777" w:rsidR="004915A2" w:rsidRPr="004915A2" w:rsidRDefault="004915A2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Konkurentski</w:t>
            </w:r>
            <w:proofErr w:type="spellEnd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zahtjev</w:t>
            </w:r>
            <w:proofErr w:type="spellEnd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dostavu</w:t>
            </w:r>
            <w:proofErr w:type="spellEnd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ponuda</w:t>
            </w:r>
            <w:proofErr w:type="spellEnd"/>
          </w:p>
        </w:tc>
        <w:tc>
          <w:tcPr>
            <w:tcW w:w="3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0FAF41F" w14:textId="77777777" w:rsidR="004915A2" w:rsidRPr="004915A2" w:rsidRDefault="004915A2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Vrijednost</w:t>
            </w:r>
            <w:proofErr w:type="spellEnd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ugovora</w:t>
            </w:r>
            <w:proofErr w:type="spellEnd"/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674300F" w14:textId="77777777" w:rsidR="004915A2" w:rsidRPr="004915A2" w:rsidRDefault="004915A2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</w:t>
            </w:r>
            <w:proofErr w:type="spellEnd"/>
          </w:p>
        </w:tc>
      </w:tr>
      <w:tr w:rsidR="004915A2" w:rsidRPr="00C5296C" w14:paraId="36BB1318" w14:textId="77777777" w:rsidTr="00E0702C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DD72" w14:textId="77777777" w:rsidR="004915A2" w:rsidRPr="004915A2" w:rsidRDefault="004915A2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14E0F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96.733.809,17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7C61A6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13.257</w:t>
            </w:r>
          </w:p>
        </w:tc>
      </w:tr>
      <w:tr w:rsidR="004915A2" w:rsidRPr="00C5296C" w14:paraId="1FE1C38B" w14:textId="77777777" w:rsidTr="00E0702C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47E0" w14:textId="77777777" w:rsidR="004915A2" w:rsidRPr="004915A2" w:rsidRDefault="004915A2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A3325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45.479.820,35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98D2F5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8.514</w:t>
            </w:r>
          </w:p>
        </w:tc>
      </w:tr>
      <w:tr w:rsidR="004915A2" w:rsidRPr="00C5296C" w14:paraId="005F3D4A" w14:textId="77777777" w:rsidTr="00E0702C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6A5D" w14:textId="77777777" w:rsidR="004915A2" w:rsidRPr="004915A2" w:rsidRDefault="004915A2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Radovi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83479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33.199.098,51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E1D2C2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1.328</w:t>
            </w:r>
          </w:p>
        </w:tc>
      </w:tr>
      <w:tr w:rsidR="004915A2" w:rsidRPr="00C5296C" w14:paraId="32206250" w14:textId="77777777" w:rsidTr="00E0702C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BEE712" w14:textId="77777777" w:rsidR="004915A2" w:rsidRPr="004915A2" w:rsidRDefault="004915A2" w:rsidP="00E0702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4915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B3774F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175.412.728,03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F4C46C" w14:textId="77777777" w:rsidR="004915A2" w:rsidRPr="004915A2" w:rsidRDefault="004915A2" w:rsidP="00E0702C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15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23.099</w:t>
            </w:r>
          </w:p>
        </w:tc>
      </w:tr>
    </w:tbl>
    <w:p w14:paraId="7CD53154" w14:textId="77777777" w:rsidR="00404351" w:rsidRPr="00404351" w:rsidRDefault="00404351" w:rsidP="00404351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lang w:val="pt-BR"/>
        </w:rPr>
      </w:pPr>
      <w:r w:rsidRPr="00404351">
        <w:rPr>
          <w:rFonts w:ascii="Times New Roman" w:hAnsi="Times New Roman" w:cs="Times New Roman"/>
          <w:lang w:val="pt-BR"/>
        </w:rPr>
        <w:t>U 2023. godini Poglavlje V i dalje proizvodi veliki broj ugovora, ali se konkurencija ne povećava. Prosjek od 1–2 ponude jasno pokazuje da intenzitet postupaka ne prati intenzitet tržišnog nadmetanja.</w:t>
      </w:r>
    </w:p>
    <w:p w14:paraId="7EBC24FF" w14:textId="1E27EDA9" w:rsidR="0021204D" w:rsidRPr="00404351" w:rsidRDefault="0021204D" w:rsidP="0040435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4043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c) Aneks II (2023)</w:t>
      </w:r>
    </w:p>
    <w:p w14:paraId="12E43962" w14:textId="77777777" w:rsidR="0021204D" w:rsidRPr="0021204D" w:rsidRDefault="0021204D" w:rsidP="00747F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716.474.015,77 KM (14,16%)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87A2A0F" w14:textId="77777777" w:rsidR="0021204D" w:rsidRPr="0021204D" w:rsidRDefault="0021204D" w:rsidP="00747F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23.514 (9,64%)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FBEB96" w14:textId="24A639BB" w:rsidR="0021204D" w:rsidRPr="0024548D" w:rsidRDefault="0024548D" w:rsidP="002454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548D">
        <w:rPr>
          <w:rFonts w:ascii="Times New Roman" w:hAnsi="Times New Roman" w:cs="Times New Roman"/>
        </w:rPr>
        <w:t>Zdravstvo</w:t>
      </w:r>
      <w:proofErr w:type="spellEnd"/>
      <w:r w:rsidRPr="0024548D">
        <w:rPr>
          <w:rFonts w:ascii="Times New Roman" w:hAnsi="Times New Roman" w:cs="Times New Roman"/>
        </w:rPr>
        <w:t xml:space="preserve"> i </w:t>
      </w:r>
      <w:proofErr w:type="spellStart"/>
      <w:r w:rsidRPr="0024548D">
        <w:rPr>
          <w:rFonts w:ascii="Times New Roman" w:hAnsi="Times New Roman" w:cs="Times New Roman"/>
        </w:rPr>
        <w:t>socijalne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usluge</w:t>
      </w:r>
      <w:proofErr w:type="spellEnd"/>
      <w:r w:rsidRPr="0024548D">
        <w:rPr>
          <w:rFonts w:ascii="Times New Roman" w:hAnsi="Times New Roman" w:cs="Times New Roman"/>
        </w:rPr>
        <w:t xml:space="preserve"> u 2023. </w:t>
      </w:r>
      <w:proofErr w:type="spellStart"/>
      <w:r w:rsidRPr="0024548D">
        <w:rPr>
          <w:rFonts w:ascii="Times New Roman" w:hAnsi="Times New Roman" w:cs="Times New Roman"/>
        </w:rPr>
        <w:t>godini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bilježe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naglo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povećanje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ukupne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vrijednosti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nabav</w:t>
      </w:r>
      <w:r w:rsidR="00503797">
        <w:rPr>
          <w:rFonts w:ascii="Times New Roman" w:hAnsi="Times New Roman" w:cs="Times New Roman"/>
        </w:rPr>
        <w:t>e</w:t>
      </w:r>
      <w:proofErr w:type="spellEnd"/>
      <w:r w:rsidRPr="0024548D">
        <w:rPr>
          <w:rFonts w:ascii="Times New Roman" w:hAnsi="Times New Roman" w:cs="Times New Roman"/>
        </w:rPr>
        <w:t xml:space="preserve"> u </w:t>
      </w:r>
      <w:proofErr w:type="spellStart"/>
      <w:r w:rsidRPr="0024548D">
        <w:rPr>
          <w:rFonts w:ascii="Times New Roman" w:hAnsi="Times New Roman" w:cs="Times New Roman"/>
        </w:rPr>
        <w:t>odnosu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na</w:t>
      </w:r>
      <w:proofErr w:type="spellEnd"/>
      <w:r w:rsidRPr="0024548D">
        <w:rPr>
          <w:rFonts w:ascii="Times New Roman" w:hAnsi="Times New Roman" w:cs="Times New Roman"/>
        </w:rPr>
        <w:t xml:space="preserve"> 2022, </w:t>
      </w:r>
      <w:proofErr w:type="spellStart"/>
      <w:r w:rsidRPr="0024548D">
        <w:rPr>
          <w:rFonts w:ascii="Times New Roman" w:hAnsi="Times New Roman" w:cs="Times New Roman"/>
        </w:rPr>
        <w:t>ali</w:t>
      </w:r>
      <w:proofErr w:type="spellEnd"/>
      <w:r w:rsidRPr="0024548D">
        <w:rPr>
          <w:rFonts w:ascii="Times New Roman" w:hAnsi="Times New Roman" w:cs="Times New Roman"/>
        </w:rPr>
        <w:t xml:space="preserve"> se </w:t>
      </w:r>
      <w:proofErr w:type="spellStart"/>
      <w:r w:rsidR="00503797">
        <w:rPr>
          <w:rFonts w:ascii="Times New Roman" w:hAnsi="Times New Roman" w:cs="Times New Roman"/>
        </w:rPr>
        <w:t>razina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konkurencije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nije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poboljšao</w:t>
      </w:r>
      <w:proofErr w:type="spellEnd"/>
      <w:r w:rsidRPr="0024548D">
        <w:rPr>
          <w:rFonts w:ascii="Times New Roman" w:hAnsi="Times New Roman" w:cs="Times New Roman"/>
        </w:rPr>
        <w:t xml:space="preserve">. </w:t>
      </w:r>
      <w:proofErr w:type="spellStart"/>
      <w:r w:rsidRPr="0024548D">
        <w:rPr>
          <w:rFonts w:ascii="Times New Roman" w:hAnsi="Times New Roman" w:cs="Times New Roman"/>
        </w:rPr>
        <w:t>Broj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ponuda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ostaje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nizak</w:t>
      </w:r>
      <w:proofErr w:type="spellEnd"/>
      <w:r w:rsidRPr="0024548D">
        <w:rPr>
          <w:rFonts w:ascii="Times New Roman" w:hAnsi="Times New Roman" w:cs="Times New Roman"/>
        </w:rPr>
        <w:t xml:space="preserve">, </w:t>
      </w:r>
      <w:proofErr w:type="spellStart"/>
      <w:r w:rsidRPr="0024548D">
        <w:rPr>
          <w:rFonts w:ascii="Times New Roman" w:hAnsi="Times New Roman" w:cs="Times New Roman"/>
        </w:rPr>
        <w:t>što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ukazuje</w:t>
      </w:r>
      <w:proofErr w:type="spellEnd"/>
      <w:r w:rsidRPr="0024548D">
        <w:rPr>
          <w:rFonts w:ascii="Times New Roman" w:hAnsi="Times New Roman" w:cs="Times New Roman"/>
        </w:rPr>
        <w:t xml:space="preserve"> da </w:t>
      </w:r>
      <w:proofErr w:type="spellStart"/>
      <w:r w:rsidRPr="0024548D">
        <w:rPr>
          <w:rFonts w:ascii="Times New Roman" w:hAnsi="Times New Roman" w:cs="Times New Roman"/>
        </w:rPr>
        <w:t>rast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vrijednosti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nije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praćen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rastom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tržišnog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interesa</w:t>
      </w:r>
      <w:proofErr w:type="spellEnd"/>
      <w:r w:rsidRPr="0024548D">
        <w:rPr>
          <w:rFonts w:ascii="Times New Roman" w:hAnsi="Times New Roman" w:cs="Times New Roman"/>
        </w:rPr>
        <w:t xml:space="preserve">. Time se </w:t>
      </w:r>
      <w:proofErr w:type="spellStart"/>
      <w:r w:rsidRPr="0024548D">
        <w:rPr>
          <w:rFonts w:ascii="Times New Roman" w:hAnsi="Times New Roman" w:cs="Times New Roman"/>
        </w:rPr>
        <w:t>povećava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rizik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dodatnog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jačanja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tržišne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pozicije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nekoliko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dominantnih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dobavljača</w:t>
      </w:r>
      <w:proofErr w:type="spellEnd"/>
      <w:r w:rsidRPr="0024548D">
        <w:rPr>
          <w:rFonts w:ascii="Times New Roman" w:hAnsi="Times New Roman" w:cs="Times New Roman"/>
        </w:rPr>
        <w:t xml:space="preserve">, </w:t>
      </w:r>
      <w:proofErr w:type="spellStart"/>
      <w:r w:rsidRPr="0024548D">
        <w:rPr>
          <w:rFonts w:ascii="Times New Roman" w:hAnsi="Times New Roman" w:cs="Times New Roman"/>
        </w:rPr>
        <w:t>što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može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dovesti</w:t>
      </w:r>
      <w:proofErr w:type="spellEnd"/>
      <w:r w:rsidRPr="0024548D">
        <w:rPr>
          <w:rFonts w:ascii="Times New Roman" w:hAnsi="Times New Roman" w:cs="Times New Roman"/>
        </w:rPr>
        <w:t xml:space="preserve"> do </w:t>
      </w:r>
      <w:proofErr w:type="spellStart"/>
      <w:r w:rsidRPr="0024548D">
        <w:rPr>
          <w:rFonts w:ascii="Times New Roman" w:hAnsi="Times New Roman" w:cs="Times New Roman"/>
        </w:rPr>
        <w:t>daljnje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koncentracije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tržišta</w:t>
      </w:r>
      <w:proofErr w:type="spellEnd"/>
      <w:r w:rsidRPr="0024548D">
        <w:rPr>
          <w:rFonts w:ascii="Times New Roman" w:hAnsi="Times New Roman" w:cs="Times New Roman"/>
        </w:rPr>
        <w:t xml:space="preserve"> i </w:t>
      </w:r>
      <w:proofErr w:type="spellStart"/>
      <w:r w:rsidRPr="0024548D">
        <w:rPr>
          <w:rFonts w:ascii="Times New Roman" w:hAnsi="Times New Roman" w:cs="Times New Roman"/>
        </w:rPr>
        <w:t>slabijeg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konkurentskog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pritiska</w:t>
      </w:r>
      <w:proofErr w:type="spellEnd"/>
      <w:r w:rsidRPr="0024548D">
        <w:rPr>
          <w:rFonts w:ascii="Times New Roman" w:hAnsi="Times New Roman" w:cs="Times New Roman"/>
        </w:rPr>
        <w:t xml:space="preserve"> u </w:t>
      </w:r>
      <w:proofErr w:type="spellStart"/>
      <w:r w:rsidRPr="0024548D">
        <w:rPr>
          <w:rFonts w:ascii="Times New Roman" w:hAnsi="Times New Roman" w:cs="Times New Roman"/>
        </w:rPr>
        <w:t>narednim</w:t>
      </w:r>
      <w:proofErr w:type="spellEnd"/>
      <w:r w:rsidRPr="0024548D">
        <w:rPr>
          <w:rFonts w:ascii="Times New Roman" w:hAnsi="Times New Roman" w:cs="Times New Roman"/>
        </w:rPr>
        <w:t xml:space="preserve"> </w:t>
      </w:r>
      <w:proofErr w:type="spellStart"/>
      <w:r w:rsidRPr="0024548D">
        <w:rPr>
          <w:rFonts w:ascii="Times New Roman" w:hAnsi="Times New Roman" w:cs="Times New Roman"/>
        </w:rPr>
        <w:t>godinama</w:t>
      </w:r>
      <w:proofErr w:type="spellEnd"/>
      <w:r w:rsidRPr="0024548D">
        <w:rPr>
          <w:rFonts w:ascii="Times New Roman" w:hAnsi="Times New Roman" w:cs="Times New Roman"/>
        </w:rPr>
        <w:t>.</w:t>
      </w:r>
      <w:r w:rsidR="004F4BCE">
        <w:rPr>
          <w:rFonts w:ascii="Times New Roman" w:eastAsia="Times New Roman" w:hAnsi="Times New Roman" w:cs="Times New Roman"/>
          <w:kern w:val="0"/>
          <w14:ligatures w14:val="none"/>
        </w:rPr>
        <w:pict w14:anchorId="5A21D511">
          <v:rect id="_x0000_i1032" style="width:0;height:1.5pt" o:hralign="center" o:hrstd="t" o:hr="t" fillcolor="#a0a0a0" stroked="f"/>
        </w:pict>
      </w:r>
    </w:p>
    <w:p w14:paraId="4189A911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3.2.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Analitičko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objašnjenje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konkurencije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71A96A30" w14:textId="1BB21457" w:rsidR="00C75190" w:rsidRPr="001F2F7B" w:rsidRDefault="00C75190" w:rsidP="00C75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Pad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prosječnog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broja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2,14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1,62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pokazuje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da je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503797">
        <w:rPr>
          <w:rFonts w:ascii="Times New Roman" w:eastAsia="Times New Roman" w:hAnsi="Times New Roman" w:cs="Times New Roman"/>
          <w:kern w:val="0"/>
          <w14:ligatures w14:val="none"/>
        </w:rPr>
        <w:t>ustav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javnih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nabav</w:t>
      </w:r>
      <w:r w:rsidR="00503797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ušao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zonu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ozbiljne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strukturne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krize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konkurencije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. U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velikom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dijelu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postupaka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postoji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realan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izbor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između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alternativa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jer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javlja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samo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jedan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ponu</w:t>
      </w:r>
      <w:r w:rsidR="00503797">
        <w:rPr>
          <w:rFonts w:ascii="Times New Roman" w:eastAsia="Times New Roman" w:hAnsi="Times New Roman" w:cs="Times New Roman"/>
          <w:kern w:val="0"/>
          <w14:ligatures w14:val="none"/>
        </w:rPr>
        <w:t>ditelj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dvije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formalne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generi</w:t>
      </w:r>
      <w:r w:rsidR="00503797">
        <w:rPr>
          <w:rFonts w:ascii="Times New Roman" w:eastAsia="Times New Roman" w:hAnsi="Times New Roman" w:cs="Times New Roman"/>
          <w:kern w:val="0"/>
          <w14:ligatures w14:val="none"/>
        </w:rPr>
        <w:t>raju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stvarni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tržišni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pritisak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Ovakva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situacija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ukazuje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duboke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poremećaje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tržišnoj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dinamici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smanjenu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503797" w:rsidRPr="001F2F7B">
        <w:rPr>
          <w:rFonts w:ascii="Times New Roman" w:eastAsia="Times New Roman" w:hAnsi="Times New Roman" w:cs="Times New Roman"/>
          <w:kern w:val="0"/>
          <w14:ligatures w14:val="none"/>
        </w:rPr>
        <w:t>ustava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osigura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03797" w:rsidRPr="001F2F7B">
        <w:rPr>
          <w:rFonts w:ascii="Times New Roman" w:eastAsia="Times New Roman" w:hAnsi="Times New Roman" w:cs="Times New Roman"/>
          <w:kern w:val="0"/>
          <w14:ligatures w14:val="none"/>
        </w:rPr>
        <w:t>učinkovitu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provjeru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5BB418" w14:textId="77777777" w:rsidR="00C75190" w:rsidRPr="00C75190" w:rsidRDefault="00C75190" w:rsidP="00C751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C751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Implikacije</w:t>
      </w:r>
      <w:proofErr w:type="spellEnd"/>
      <w:r w:rsidRPr="00C751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5818AB8C" w14:textId="77777777" w:rsidR="00C75190" w:rsidRPr="00C75190" w:rsidRDefault="00C75190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jačanje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pozicije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postojećih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dobavljača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dalje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učvršćivanje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njihovih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tržišnih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udjela</w:t>
      </w:r>
      <w:proofErr w:type="spellEnd"/>
      <w:r w:rsidRPr="00C75190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57A07DB" w14:textId="5926C1EA" w:rsidR="00C75190" w:rsidRPr="00C75190" w:rsidRDefault="00C75190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7519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povećan prostor za dogovaranje cijena i neformalno koordini</w:t>
      </w:r>
      <w:r w:rsidR="00510A3E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</w:t>
      </w:r>
      <w:r w:rsidRPr="00C7519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anje,</w:t>
      </w:r>
    </w:p>
    <w:p w14:paraId="758C28E8" w14:textId="77777777" w:rsidR="00C75190" w:rsidRPr="00C75190" w:rsidRDefault="00C75190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7519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otežan ulazak novih subjekata uslijed zatvorenosti tržišta,</w:t>
      </w:r>
    </w:p>
    <w:p w14:paraId="1D0A5002" w14:textId="00939834" w:rsidR="00C75190" w:rsidRPr="00C75190" w:rsidRDefault="00C75190" w:rsidP="00747F81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7519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visoki rizici po integritet s</w:t>
      </w:r>
      <w:r w:rsidR="0050379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ustava</w:t>
      </w:r>
      <w:r w:rsidRPr="00C7519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uključujući smanjenje transparentnosti, veći pritisak na cijene i smanjenu otpornost na </w:t>
      </w:r>
      <w:r w:rsidR="00503797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neregularnosti</w:t>
      </w:r>
      <w:r w:rsidRPr="00C7519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ECA4AA7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F7C105">
          <v:rect id="_x0000_i1033" style="width:0;height:1.5pt" o:hralign="center" o:hrstd="t" o:hr="t" fillcolor="#a0a0a0" stroked="f"/>
        </w:pict>
      </w:r>
    </w:p>
    <w:p w14:paraId="619ECFEB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3.3. Postupci sa jednom ponudom (2023)</w:t>
      </w:r>
    </w:p>
    <w:p w14:paraId="249B4FE7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Procjenjuje se da je u 2023. udio single-bid postupaka:</w:t>
      </w:r>
    </w:p>
    <w:p w14:paraId="7555091C" w14:textId="77777777" w:rsidR="0021204D" w:rsidRPr="0021204D" w:rsidRDefault="0021204D" w:rsidP="00747F8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bliže gornjoj granici –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40–45% svih postupaka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C01332C" w14:textId="47D19D8C" w:rsidR="002F309B" w:rsidRPr="002F309B" w:rsidRDefault="002F309B" w:rsidP="002F30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Rast postupaka u 2023. godini najizraženiji je u radovima, posebno infrastrukturnim projektima većih vrijednosti, zatim u PBO i drugim pregovaračkim procedurama, kao i u Aneksu II koji obuhvata zdravstvene i socijalne usluge. Međutim, povećanje o</w:t>
      </w:r>
      <w:r w:rsidR="00E760F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psega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nije praćeno rastom broja ponuda, niti širenjem baze aktivnih ponu</w:t>
      </w:r>
      <w:r w:rsidR="00510A3E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Upravo suprotno – struktura tržišnog odziva pokazuje da single-bid postupci u ovim sektorima postaju pravilo, a ne izuzetak. Time se signalizira prelazak u stanje </w:t>
      </w:r>
      <w:r w:rsidR="00510A3E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ronične i s</w:t>
      </w:r>
      <w:r w:rsidR="00510A3E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ustavne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nekonkurentnosti.</w:t>
      </w:r>
    </w:p>
    <w:p w14:paraId="7514E557" w14:textId="77777777" w:rsidR="002F309B" w:rsidRPr="002F309B" w:rsidRDefault="002F309B" w:rsidP="002F30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2F30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Implikacije:</w:t>
      </w:r>
    </w:p>
    <w:p w14:paraId="3DAF29F3" w14:textId="77777777" w:rsidR="002F309B" w:rsidRPr="002F309B" w:rsidRDefault="002F309B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Produbljivanje tržišne koncentracije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nekoliko dominantnih dobavljača dodatno učvršćuje pozicije u ključnim vrijednosno visokim segmentima.</w:t>
      </w:r>
    </w:p>
    <w:p w14:paraId="03E92620" w14:textId="7EF86AC7" w:rsidR="002F309B" w:rsidRPr="002F309B" w:rsidRDefault="002F309B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Smanjena sposobnost s</w:t>
      </w:r>
      <w:r w:rsidR="0052763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ustava</w:t>
      </w:r>
      <w:r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da provjeri tržišnu cijenu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uz samo jednog pon</w:t>
      </w:r>
      <w:r w:rsidR="0052763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uditelja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odsustaje realni pritisak da cijene prate tržišne trendove.</w:t>
      </w:r>
    </w:p>
    <w:p w14:paraId="22683ABF" w14:textId="04A25623" w:rsidR="002F309B" w:rsidRPr="002F309B" w:rsidRDefault="002F309B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Povećani fiskalni i operativni rizici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javn</w:t>
      </w:r>
      <w:r w:rsidR="0052763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 tijela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postaju zavisni od ograničenog broja subjekata, čime raste ranjivost na poremećaje, kašnjenja i pregovaračku moć dobavljača.</w:t>
      </w:r>
    </w:p>
    <w:p w14:paraId="13A26FCE" w14:textId="5294FB08" w:rsidR="002F309B" w:rsidRPr="002F309B" w:rsidRDefault="002F309B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Slabljenje ulaznih tačaka za nove ponu</w:t>
      </w:r>
      <w:r w:rsidR="0052763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ditelje</w:t>
      </w:r>
      <w:r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i MSP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tržište se zatvara, a ulazne barijere u sektorima visokih vrijednosti postaju strukturne, a ne privremene.</w:t>
      </w:r>
    </w:p>
    <w:p w14:paraId="59A7F113" w14:textId="6274870C" w:rsidR="002F309B" w:rsidRPr="002F309B" w:rsidRDefault="002F309B" w:rsidP="00747F81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F309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Erozija integriteta s</w:t>
      </w:r>
      <w:r w:rsidR="0052763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ustava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dominacija postupaka bez konkurencije povećava rizik od netransparentnih odluka, neformalnih dogovora i n</w:t>
      </w:r>
      <w:r w:rsidR="00E760F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eodgovarajuće</w:t>
      </w: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kontrole cijena.</w:t>
      </w:r>
    </w:p>
    <w:p w14:paraId="1AD84B6F" w14:textId="77777777" w:rsidR="002F309B" w:rsidRPr="002F309B" w:rsidRDefault="002F309B" w:rsidP="002F3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F309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Ovakvi trendovi ukazuju da se tržišna dinamika u ključnim sektorima kreće prema stanju dugoročne nekonkurentnosti, pri čemu standardni instrumenti (e-aukcije, otvoreni postupci) više nisu dovoljni da preokrenu trend bez ciljanih intervencija.</w:t>
      </w:r>
    </w:p>
    <w:p w14:paraId="49E7A735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B4C078">
          <v:rect id="_x0000_i1034" style="width:0;height:1.5pt" o:hralign="center" o:hrstd="t" o:hr="t" fillcolor="#a0a0a0" stroked="f"/>
        </w:pict>
      </w:r>
    </w:p>
    <w:p w14:paraId="5B21DA49" w14:textId="77777777" w:rsidR="00755613" w:rsidRDefault="00755613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</w:p>
    <w:p w14:paraId="2BE80B1B" w14:textId="77777777" w:rsidR="00755613" w:rsidRDefault="00755613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</w:p>
    <w:p w14:paraId="570685C0" w14:textId="3CBFFA09" w:rsid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lastRenderedPageBreak/>
        <w:t>3.4. Teritorijalne i sektorske razlike (2023)</w:t>
      </w:r>
    </w:p>
    <w:p w14:paraId="30460D5D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a) PBO po entitetima (2023)</w:t>
      </w:r>
    </w:p>
    <w:p w14:paraId="0A7B70DF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Približni udjeli u vrijednosti PBO:</w:t>
      </w:r>
    </w:p>
    <w:p w14:paraId="3CA5C473" w14:textId="43B0CD89" w:rsidR="0021204D" w:rsidRPr="0021204D" w:rsidRDefault="00F72E19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razina</w:t>
      </w:r>
      <w:proofErr w:type="spellEnd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BiH ≈ 2,1%,</w:t>
      </w:r>
    </w:p>
    <w:p w14:paraId="3E6E3469" w14:textId="77777777" w:rsidR="0021204D" w:rsidRPr="0021204D" w:rsidRDefault="0021204D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FBiH ≈ 50,7%,</w:t>
      </w:r>
    </w:p>
    <w:p w14:paraId="24DD88AC" w14:textId="77777777" w:rsidR="0021204D" w:rsidRPr="0021204D" w:rsidRDefault="0021204D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RS ≈ 47,0%,</w:t>
      </w:r>
    </w:p>
    <w:p w14:paraId="61D0F0DE" w14:textId="77777777" w:rsidR="0021204D" w:rsidRPr="0021204D" w:rsidRDefault="0021204D" w:rsidP="00747F8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BD ≈ 0,2%.</w:t>
      </w:r>
    </w:p>
    <w:p w14:paraId="27B5724E" w14:textId="77777777" w:rsidR="0021204D" w:rsidRDefault="0021204D" w:rsidP="00E87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RS u 2023.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gotovo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dijeli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tržište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PBO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FBiH –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ukazuje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snažnu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upotrebu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netransparentnih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procedura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u oba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entiteta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16367C" w14:textId="1A2686C1" w:rsidR="00755613" w:rsidRPr="00755613" w:rsidRDefault="00755613" w:rsidP="00755613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755613">
        <w:rPr>
          <w:rFonts w:ascii="Times New Roman" w:hAnsi="Times New Roman" w:cs="Times New Roman"/>
          <w:color w:val="000000" w:themeColor="text1"/>
        </w:rPr>
        <w:t>Tabelarni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prikaz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dodijeljenih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ugovora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pregovarački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postupak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bez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objave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obav</w:t>
      </w:r>
      <w:r w:rsidR="00527634">
        <w:rPr>
          <w:rFonts w:ascii="Times New Roman" w:hAnsi="Times New Roman" w:cs="Times New Roman"/>
          <w:color w:val="000000" w:themeColor="text1"/>
        </w:rPr>
        <w:t>ijesti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nabavi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u 2023.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godini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prema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predmetu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nabave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527634">
        <w:rPr>
          <w:rFonts w:ascii="Times New Roman" w:hAnsi="Times New Roman" w:cs="Times New Roman"/>
          <w:color w:val="000000" w:themeColor="text1"/>
        </w:rPr>
        <w:t>razini</w:t>
      </w:r>
      <w:proofErr w:type="spellEnd"/>
      <w:r w:rsidR="00527634">
        <w:rPr>
          <w:rFonts w:ascii="Times New Roman" w:hAnsi="Times New Roman" w:cs="Times New Roman"/>
          <w:color w:val="000000" w:themeColor="text1"/>
        </w:rPr>
        <w:t xml:space="preserve"> </w:t>
      </w:r>
      <w:r w:rsidRPr="00755613">
        <w:rPr>
          <w:rFonts w:ascii="Times New Roman" w:hAnsi="Times New Roman" w:cs="Times New Roman"/>
          <w:color w:val="000000" w:themeColor="text1"/>
        </w:rPr>
        <w:t xml:space="preserve">vlasti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kojem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pripada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55613">
        <w:rPr>
          <w:rFonts w:ascii="Times New Roman" w:hAnsi="Times New Roman" w:cs="Times New Roman"/>
          <w:color w:val="000000" w:themeColor="text1"/>
        </w:rPr>
        <w:t>ugovorn</w:t>
      </w:r>
      <w:r w:rsidR="00527634">
        <w:rPr>
          <w:rFonts w:ascii="Times New Roman" w:hAnsi="Times New Roman" w:cs="Times New Roman"/>
          <w:color w:val="000000" w:themeColor="text1"/>
        </w:rPr>
        <w:t>o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27634">
        <w:rPr>
          <w:rFonts w:ascii="Times New Roman" w:hAnsi="Times New Roman" w:cs="Times New Roman"/>
          <w:color w:val="000000" w:themeColor="text1"/>
        </w:rPr>
        <w:t>tijelo</w:t>
      </w:r>
      <w:proofErr w:type="spellEnd"/>
      <w:r w:rsidRPr="00755613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32"/>
        <w:gridCol w:w="1678"/>
        <w:gridCol w:w="1775"/>
        <w:gridCol w:w="1775"/>
        <w:gridCol w:w="1310"/>
        <w:gridCol w:w="1775"/>
      </w:tblGrid>
      <w:tr w:rsidR="00755613" w:rsidRPr="00755613" w14:paraId="22AD5228" w14:textId="77777777" w:rsidTr="00E0702C">
        <w:trPr>
          <w:trHeight w:val="315"/>
        </w:trPr>
        <w:tc>
          <w:tcPr>
            <w:tcW w:w="13740" w:type="dxa"/>
            <w:gridSpan w:val="6"/>
            <w:shd w:val="clear" w:color="auto" w:fill="FFFF00"/>
            <w:hideMark/>
          </w:tcPr>
          <w:p w14:paraId="6234E7CB" w14:textId="63A9BB2E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Ukupna vrijednost dodijeljenih ugovora za pregovarački postupak bez objave obav</w:t>
            </w:r>
            <w:r w:rsidR="005E46C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ijesti</w:t>
            </w:r>
            <w:r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o nabavi u 2023. godini prema predmetu nabave i </w:t>
            </w:r>
            <w:r w:rsidR="0052763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razini</w:t>
            </w:r>
            <w:r w:rsidRPr="0075561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vlasti:</w:t>
            </w:r>
          </w:p>
        </w:tc>
      </w:tr>
      <w:tr w:rsidR="00755613" w:rsidRPr="00755613" w14:paraId="5732E8A1" w14:textId="77777777" w:rsidTr="00E0702C">
        <w:trPr>
          <w:trHeight w:val="315"/>
        </w:trPr>
        <w:tc>
          <w:tcPr>
            <w:tcW w:w="1476" w:type="dxa"/>
            <w:noWrap/>
            <w:hideMark/>
          </w:tcPr>
          <w:p w14:paraId="6E358239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75" w:type="dxa"/>
            <w:noWrap/>
            <w:hideMark/>
          </w:tcPr>
          <w:p w14:paraId="15D1BFAB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BIH</w:t>
            </w:r>
          </w:p>
        </w:tc>
        <w:tc>
          <w:tcPr>
            <w:tcW w:w="2627" w:type="dxa"/>
            <w:noWrap/>
            <w:hideMark/>
          </w:tcPr>
          <w:p w14:paraId="2AB2B972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FBiH</w:t>
            </w:r>
          </w:p>
        </w:tc>
        <w:tc>
          <w:tcPr>
            <w:tcW w:w="2627" w:type="dxa"/>
            <w:noWrap/>
            <w:hideMark/>
          </w:tcPr>
          <w:p w14:paraId="25811857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RS</w:t>
            </w:r>
          </w:p>
        </w:tc>
        <w:tc>
          <w:tcPr>
            <w:tcW w:w="1908" w:type="dxa"/>
            <w:noWrap/>
            <w:hideMark/>
          </w:tcPr>
          <w:p w14:paraId="648F97D9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BD</w:t>
            </w:r>
          </w:p>
        </w:tc>
        <w:tc>
          <w:tcPr>
            <w:tcW w:w="2627" w:type="dxa"/>
            <w:noWrap/>
            <w:hideMark/>
          </w:tcPr>
          <w:p w14:paraId="73C13C4A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Ukupno</w:t>
            </w:r>
          </w:p>
        </w:tc>
      </w:tr>
      <w:tr w:rsidR="00755613" w:rsidRPr="00755613" w14:paraId="73CD54AC" w14:textId="77777777" w:rsidTr="00E0702C">
        <w:trPr>
          <w:trHeight w:val="315"/>
        </w:trPr>
        <w:tc>
          <w:tcPr>
            <w:tcW w:w="1476" w:type="dxa"/>
            <w:noWrap/>
            <w:hideMark/>
          </w:tcPr>
          <w:p w14:paraId="57134B2B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Robe</w:t>
            </w:r>
          </w:p>
        </w:tc>
        <w:tc>
          <w:tcPr>
            <w:tcW w:w="2475" w:type="dxa"/>
            <w:noWrap/>
            <w:hideMark/>
          </w:tcPr>
          <w:p w14:paraId="1A3792EE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383,427.39</w:t>
            </w:r>
          </w:p>
        </w:tc>
        <w:tc>
          <w:tcPr>
            <w:tcW w:w="2627" w:type="dxa"/>
            <w:noWrap/>
            <w:hideMark/>
          </w:tcPr>
          <w:p w14:paraId="610C73EC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93,788,801.51</w:t>
            </w:r>
          </w:p>
        </w:tc>
        <w:tc>
          <w:tcPr>
            <w:tcW w:w="2627" w:type="dxa"/>
            <w:noWrap/>
            <w:hideMark/>
          </w:tcPr>
          <w:p w14:paraId="35C81F2B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25,584,907.32</w:t>
            </w:r>
          </w:p>
        </w:tc>
        <w:tc>
          <w:tcPr>
            <w:tcW w:w="1908" w:type="dxa"/>
            <w:noWrap/>
            <w:hideMark/>
          </w:tcPr>
          <w:p w14:paraId="596086D1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27,100.00</w:t>
            </w:r>
          </w:p>
        </w:tc>
        <w:tc>
          <w:tcPr>
            <w:tcW w:w="2627" w:type="dxa"/>
            <w:noWrap/>
            <w:hideMark/>
          </w:tcPr>
          <w:p w14:paraId="6720E3BA" w14:textId="77777777" w:rsidR="00755613" w:rsidRPr="00755613" w:rsidRDefault="00755613" w:rsidP="00E070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119,784,236.22</w:t>
            </w:r>
          </w:p>
        </w:tc>
      </w:tr>
      <w:tr w:rsidR="00755613" w:rsidRPr="00755613" w14:paraId="19EB6B82" w14:textId="77777777" w:rsidTr="00E0702C">
        <w:trPr>
          <w:trHeight w:val="315"/>
        </w:trPr>
        <w:tc>
          <w:tcPr>
            <w:tcW w:w="1476" w:type="dxa"/>
            <w:noWrap/>
            <w:hideMark/>
          </w:tcPr>
          <w:p w14:paraId="27363F39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Usluge</w:t>
            </w:r>
          </w:p>
        </w:tc>
        <w:tc>
          <w:tcPr>
            <w:tcW w:w="2475" w:type="dxa"/>
            <w:noWrap/>
            <w:hideMark/>
          </w:tcPr>
          <w:p w14:paraId="6724478B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4,690,459.50</w:t>
            </w:r>
          </w:p>
        </w:tc>
        <w:tc>
          <w:tcPr>
            <w:tcW w:w="2627" w:type="dxa"/>
            <w:noWrap/>
            <w:hideMark/>
          </w:tcPr>
          <w:p w14:paraId="75D99787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44,496,973.96</w:t>
            </w:r>
          </w:p>
        </w:tc>
        <w:tc>
          <w:tcPr>
            <w:tcW w:w="2627" w:type="dxa"/>
            <w:noWrap/>
            <w:hideMark/>
          </w:tcPr>
          <w:p w14:paraId="379715CC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29,001,665.71</w:t>
            </w:r>
          </w:p>
        </w:tc>
        <w:tc>
          <w:tcPr>
            <w:tcW w:w="1908" w:type="dxa"/>
            <w:noWrap/>
            <w:hideMark/>
          </w:tcPr>
          <w:p w14:paraId="3A2C0169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410,426.90</w:t>
            </w:r>
          </w:p>
        </w:tc>
        <w:tc>
          <w:tcPr>
            <w:tcW w:w="2627" w:type="dxa"/>
            <w:noWrap/>
            <w:hideMark/>
          </w:tcPr>
          <w:p w14:paraId="453EEBDE" w14:textId="77777777" w:rsidR="00755613" w:rsidRPr="00755613" w:rsidRDefault="00755613" w:rsidP="00E070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78,599,526.07</w:t>
            </w:r>
          </w:p>
        </w:tc>
      </w:tr>
      <w:tr w:rsidR="00755613" w:rsidRPr="00755613" w14:paraId="116CA55C" w14:textId="77777777" w:rsidTr="00E0702C">
        <w:trPr>
          <w:trHeight w:val="315"/>
        </w:trPr>
        <w:tc>
          <w:tcPr>
            <w:tcW w:w="1476" w:type="dxa"/>
            <w:noWrap/>
            <w:hideMark/>
          </w:tcPr>
          <w:p w14:paraId="7788151E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Radovi</w:t>
            </w:r>
          </w:p>
        </w:tc>
        <w:tc>
          <w:tcPr>
            <w:tcW w:w="2475" w:type="dxa"/>
            <w:noWrap/>
            <w:hideMark/>
          </w:tcPr>
          <w:p w14:paraId="3A9F1743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1,344,142.05</w:t>
            </w:r>
          </w:p>
        </w:tc>
        <w:tc>
          <w:tcPr>
            <w:tcW w:w="2627" w:type="dxa"/>
            <w:noWrap/>
            <w:hideMark/>
          </w:tcPr>
          <w:p w14:paraId="044C2675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16,998,616.01</w:t>
            </w:r>
          </w:p>
        </w:tc>
        <w:tc>
          <w:tcPr>
            <w:tcW w:w="2627" w:type="dxa"/>
            <w:noWrap/>
            <w:hideMark/>
          </w:tcPr>
          <w:p w14:paraId="786C040F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89,447,037.01</w:t>
            </w:r>
          </w:p>
        </w:tc>
        <w:tc>
          <w:tcPr>
            <w:tcW w:w="1908" w:type="dxa"/>
            <w:noWrap/>
            <w:hideMark/>
          </w:tcPr>
          <w:p w14:paraId="62E49E12" w14:textId="77777777" w:rsidR="00755613" w:rsidRPr="00755613" w:rsidRDefault="00755613" w:rsidP="00E070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266,839.76</w:t>
            </w:r>
          </w:p>
        </w:tc>
        <w:tc>
          <w:tcPr>
            <w:tcW w:w="2627" w:type="dxa"/>
            <w:noWrap/>
            <w:hideMark/>
          </w:tcPr>
          <w:p w14:paraId="779104A8" w14:textId="77777777" w:rsidR="00755613" w:rsidRPr="00755613" w:rsidRDefault="00755613" w:rsidP="00E070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108,056,634.83</w:t>
            </w:r>
          </w:p>
        </w:tc>
      </w:tr>
      <w:tr w:rsidR="00755613" w:rsidRPr="00755613" w14:paraId="1E229269" w14:textId="77777777" w:rsidTr="00E0702C">
        <w:trPr>
          <w:trHeight w:val="315"/>
        </w:trPr>
        <w:tc>
          <w:tcPr>
            <w:tcW w:w="1476" w:type="dxa"/>
            <w:noWrap/>
            <w:hideMark/>
          </w:tcPr>
          <w:p w14:paraId="10106582" w14:textId="77777777" w:rsidR="00755613" w:rsidRPr="00755613" w:rsidRDefault="00755613" w:rsidP="00E070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2475" w:type="dxa"/>
            <w:noWrap/>
            <w:hideMark/>
          </w:tcPr>
          <w:p w14:paraId="6012F0B6" w14:textId="77777777" w:rsidR="00755613" w:rsidRPr="00755613" w:rsidRDefault="00755613" w:rsidP="00E070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6,418,028.94</w:t>
            </w:r>
          </w:p>
        </w:tc>
        <w:tc>
          <w:tcPr>
            <w:tcW w:w="2627" w:type="dxa"/>
            <w:noWrap/>
            <w:hideMark/>
          </w:tcPr>
          <w:p w14:paraId="51A950B4" w14:textId="77777777" w:rsidR="00755613" w:rsidRPr="00755613" w:rsidRDefault="00755613" w:rsidP="00E070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155,284,391.48</w:t>
            </w:r>
          </w:p>
        </w:tc>
        <w:tc>
          <w:tcPr>
            <w:tcW w:w="2627" w:type="dxa"/>
            <w:noWrap/>
            <w:hideMark/>
          </w:tcPr>
          <w:p w14:paraId="6789FA61" w14:textId="77777777" w:rsidR="00755613" w:rsidRPr="00755613" w:rsidRDefault="00755613" w:rsidP="00E070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144,033,610.04</w:t>
            </w:r>
          </w:p>
        </w:tc>
        <w:tc>
          <w:tcPr>
            <w:tcW w:w="1908" w:type="dxa"/>
            <w:noWrap/>
            <w:hideMark/>
          </w:tcPr>
          <w:p w14:paraId="33575825" w14:textId="77777777" w:rsidR="00755613" w:rsidRPr="00755613" w:rsidRDefault="00755613" w:rsidP="00E070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704,366.66</w:t>
            </w:r>
          </w:p>
        </w:tc>
        <w:tc>
          <w:tcPr>
            <w:tcW w:w="2627" w:type="dxa"/>
            <w:noWrap/>
            <w:hideMark/>
          </w:tcPr>
          <w:p w14:paraId="38DD556A" w14:textId="77777777" w:rsidR="00755613" w:rsidRPr="00755613" w:rsidRDefault="00755613" w:rsidP="00E070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306,440,397.12</w:t>
            </w:r>
          </w:p>
        </w:tc>
      </w:tr>
    </w:tbl>
    <w:p w14:paraId="2F5783E3" w14:textId="77777777" w:rsidR="00755613" w:rsidRPr="00E25FE4" w:rsidRDefault="00755613" w:rsidP="00755613">
      <w:pPr>
        <w:rPr>
          <w:i/>
          <w:iCs/>
        </w:rPr>
      </w:pPr>
    </w:p>
    <w:p w14:paraId="4B6B68B7" w14:textId="77777777" w:rsidR="00755613" w:rsidRPr="00E25FE4" w:rsidRDefault="00755613" w:rsidP="00755613">
      <w:pPr>
        <w:rPr>
          <w:i/>
          <w:iCs/>
        </w:rPr>
      </w:pPr>
      <w:r>
        <w:rPr>
          <w:noProof/>
        </w:rPr>
        <w:drawing>
          <wp:inline distT="0" distB="0" distL="0" distR="0" wp14:anchorId="4EB4B571" wp14:editId="05A18ADE">
            <wp:extent cx="5924550" cy="3190875"/>
            <wp:effectExtent l="0" t="0" r="0" b="9525"/>
            <wp:docPr id="7402554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6A08F1A-291A-F257-B3F3-4D2171509E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9D18BB" w14:textId="23002BA6" w:rsidR="00755613" w:rsidRPr="00755613" w:rsidRDefault="00755613" w:rsidP="00755613">
      <w:pPr>
        <w:jc w:val="both"/>
        <w:rPr>
          <w:rFonts w:ascii="Times New Roman" w:hAnsi="Times New Roman" w:cs="Times New Roman"/>
        </w:rPr>
      </w:pPr>
      <w:proofErr w:type="spellStart"/>
      <w:r w:rsidRPr="00755613">
        <w:rPr>
          <w:rFonts w:ascii="Times New Roman" w:hAnsi="Times New Roman" w:cs="Times New Roman"/>
        </w:rPr>
        <w:lastRenderedPageBreak/>
        <w:t>Tabelarni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prikaz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ukupnog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broja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dodijeljenih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ugovora</w:t>
      </w:r>
      <w:proofErr w:type="spellEnd"/>
      <w:r w:rsidRPr="00755613">
        <w:rPr>
          <w:rFonts w:ascii="Times New Roman" w:hAnsi="Times New Roman" w:cs="Times New Roman"/>
        </w:rPr>
        <w:t xml:space="preserve"> za </w:t>
      </w:r>
      <w:proofErr w:type="spellStart"/>
      <w:r w:rsidRPr="00755613">
        <w:rPr>
          <w:rFonts w:ascii="Times New Roman" w:hAnsi="Times New Roman" w:cs="Times New Roman"/>
        </w:rPr>
        <w:t>pregovarački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postupak</w:t>
      </w:r>
      <w:proofErr w:type="spellEnd"/>
      <w:r w:rsidRPr="00755613">
        <w:rPr>
          <w:rFonts w:ascii="Times New Roman" w:hAnsi="Times New Roman" w:cs="Times New Roman"/>
        </w:rPr>
        <w:t xml:space="preserve"> bez </w:t>
      </w:r>
      <w:proofErr w:type="spellStart"/>
      <w:r w:rsidRPr="00755613">
        <w:rPr>
          <w:rFonts w:ascii="Times New Roman" w:hAnsi="Times New Roman" w:cs="Times New Roman"/>
        </w:rPr>
        <w:t>objave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obav</w:t>
      </w:r>
      <w:r w:rsidR="005E46C8">
        <w:rPr>
          <w:rFonts w:ascii="Times New Roman" w:hAnsi="Times New Roman" w:cs="Times New Roman"/>
        </w:rPr>
        <w:t>ijesti</w:t>
      </w:r>
      <w:proofErr w:type="spellEnd"/>
      <w:r w:rsidRPr="00755613">
        <w:rPr>
          <w:rFonts w:ascii="Times New Roman" w:hAnsi="Times New Roman" w:cs="Times New Roman"/>
        </w:rPr>
        <w:t xml:space="preserve"> o </w:t>
      </w:r>
      <w:proofErr w:type="spellStart"/>
      <w:r w:rsidRPr="00755613">
        <w:rPr>
          <w:rFonts w:ascii="Times New Roman" w:hAnsi="Times New Roman" w:cs="Times New Roman"/>
        </w:rPr>
        <w:t>nabavi</w:t>
      </w:r>
      <w:proofErr w:type="spellEnd"/>
      <w:r w:rsidRPr="00755613">
        <w:rPr>
          <w:rFonts w:ascii="Times New Roman" w:hAnsi="Times New Roman" w:cs="Times New Roman"/>
        </w:rPr>
        <w:t xml:space="preserve"> u 2023. </w:t>
      </w:r>
      <w:proofErr w:type="spellStart"/>
      <w:r w:rsidRPr="00755613">
        <w:rPr>
          <w:rFonts w:ascii="Times New Roman" w:hAnsi="Times New Roman" w:cs="Times New Roman"/>
        </w:rPr>
        <w:t>godini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prema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predmetu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nabave</w:t>
      </w:r>
      <w:proofErr w:type="spellEnd"/>
      <w:r w:rsidRPr="00755613">
        <w:rPr>
          <w:rFonts w:ascii="Times New Roman" w:hAnsi="Times New Roman" w:cs="Times New Roman"/>
        </w:rPr>
        <w:t xml:space="preserve"> i </w:t>
      </w:r>
      <w:proofErr w:type="spellStart"/>
      <w:r w:rsidR="00527634">
        <w:rPr>
          <w:rFonts w:ascii="Times New Roman" w:hAnsi="Times New Roman" w:cs="Times New Roman"/>
          <w:color w:val="000000" w:themeColor="text1"/>
        </w:rPr>
        <w:t>razini</w:t>
      </w:r>
      <w:proofErr w:type="spellEnd"/>
      <w:r w:rsidR="00527634" w:rsidRPr="00755613">
        <w:rPr>
          <w:rFonts w:ascii="Times New Roman" w:hAnsi="Times New Roman" w:cs="Times New Roman"/>
          <w:color w:val="000000" w:themeColor="text1"/>
        </w:rPr>
        <w:t xml:space="preserve"> </w:t>
      </w:r>
      <w:r w:rsidRPr="00755613">
        <w:rPr>
          <w:rFonts w:ascii="Times New Roman" w:hAnsi="Times New Roman" w:cs="Times New Roman"/>
        </w:rPr>
        <w:t xml:space="preserve">vlasti </w:t>
      </w:r>
      <w:proofErr w:type="spellStart"/>
      <w:r w:rsidRPr="00755613">
        <w:rPr>
          <w:rFonts w:ascii="Times New Roman" w:hAnsi="Times New Roman" w:cs="Times New Roman"/>
        </w:rPr>
        <w:t>kojem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pripada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ugovorn</w:t>
      </w:r>
      <w:r w:rsidR="005E46C8">
        <w:rPr>
          <w:rFonts w:ascii="Times New Roman" w:hAnsi="Times New Roman" w:cs="Times New Roman"/>
        </w:rPr>
        <w:t>o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="005E46C8">
        <w:rPr>
          <w:rFonts w:ascii="Times New Roman" w:hAnsi="Times New Roman" w:cs="Times New Roman"/>
        </w:rPr>
        <w:t>tijelo</w:t>
      </w:r>
      <w:proofErr w:type="spellEnd"/>
      <w:r w:rsidRPr="00755613">
        <w:rPr>
          <w:rFonts w:ascii="Times New Roman" w:hAnsi="Times New Roman" w:cs="Times New Roman"/>
        </w:rPr>
        <w:t>:</w:t>
      </w:r>
    </w:p>
    <w:p w14:paraId="0FCABF7D" w14:textId="77777777" w:rsidR="00755613" w:rsidRPr="001339EC" w:rsidRDefault="00755613" w:rsidP="00755613">
      <w:pPr>
        <w:jc w:val="both"/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1070"/>
        <w:gridCol w:w="1620"/>
        <w:gridCol w:w="1800"/>
        <w:gridCol w:w="1800"/>
        <w:gridCol w:w="1260"/>
        <w:gridCol w:w="1800"/>
      </w:tblGrid>
      <w:tr w:rsidR="00755613" w14:paraId="3676FF42" w14:textId="77777777" w:rsidTr="00E0702C">
        <w:trPr>
          <w:trHeight w:val="317"/>
        </w:trPr>
        <w:tc>
          <w:tcPr>
            <w:tcW w:w="9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020D422" w14:textId="6D863E00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Ukupan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dodijeljenih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ugovora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pregovarački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postupak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bez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objave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obav</w:t>
            </w:r>
            <w:r w:rsidR="005E46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ijesti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nabavi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2023.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godini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prema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predmetu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nabave</w:t>
            </w:r>
            <w:proofErr w:type="spellEnd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="005276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razini</w:t>
            </w:r>
            <w:proofErr w:type="spellEnd"/>
            <w:r w:rsidR="005276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vlasti:</w:t>
            </w:r>
          </w:p>
        </w:tc>
      </w:tr>
      <w:tr w:rsidR="00755613" w14:paraId="73943A1E" w14:textId="77777777" w:rsidTr="00E0702C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2B57D4" w14:textId="77777777" w:rsidR="00755613" w:rsidRPr="00755613" w:rsidRDefault="00755613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5131E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B3B18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FBiH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6CF5B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D7C0D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CB5B8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Ukupno</w:t>
            </w:r>
            <w:proofErr w:type="spellEnd"/>
          </w:p>
        </w:tc>
      </w:tr>
      <w:tr w:rsidR="00755613" w14:paraId="2073AF67" w14:textId="77777777" w:rsidTr="00E0702C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68EC8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0481F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BD9AD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5AAAF8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DE63B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61BC2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418</w:t>
            </w:r>
          </w:p>
        </w:tc>
      </w:tr>
      <w:tr w:rsidR="00755613" w14:paraId="3D002347" w14:textId="77777777" w:rsidTr="00E0702C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CD8AA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0A7DC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45BF2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80F28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A4CDE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83CA99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498</w:t>
            </w:r>
          </w:p>
        </w:tc>
      </w:tr>
      <w:tr w:rsidR="00755613" w14:paraId="5EB68392" w14:textId="77777777" w:rsidTr="00E0702C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563083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Radovi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FE3A4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CBA15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B979C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42FA9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54720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288</w:t>
            </w:r>
          </w:p>
        </w:tc>
      </w:tr>
      <w:tr w:rsidR="00755613" w14:paraId="742F3011" w14:textId="77777777" w:rsidTr="00E0702C">
        <w:trPr>
          <w:trHeight w:val="317"/>
        </w:trPr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25614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CEF2A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01D6A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5286C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CAAEC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60AF6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1204</w:t>
            </w:r>
          </w:p>
        </w:tc>
      </w:tr>
    </w:tbl>
    <w:p w14:paraId="5153FEED" w14:textId="77777777" w:rsidR="00755613" w:rsidRPr="00E25FE4" w:rsidRDefault="00755613" w:rsidP="00755613">
      <w:pPr>
        <w:jc w:val="both"/>
        <w:rPr>
          <w:i/>
          <w:iCs/>
        </w:rPr>
      </w:pPr>
    </w:p>
    <w:p w14:paraId="0A8FEE46" w14:textId="77777777" w:rsidR="00755613" w:rsidRDefault="00755613" w:rsidP="00755613">
      <w:pPr>
        <w:jc w:val="center"/>
        <w:rPr>
          <w:i/>
          <w:iCs/>
        </w:rPr>
      </w:pPr>
      <w:r>
        <w:rPr>
          <w:noProof/>
        </w:rPr>
        <w:drawing>
          <wp:inline distT="0" distB="0" distL="0" distR="0" wp14:anchorId="21591FD2" wp14:editId="73268577">
            <wp:extent cx="5943600" cy="3067050"/>
            <wp:effectExtent l="0" t="0" r="0" b="0"/>
            <wp:docPr id="20488335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CA046B8-5A11-C9C6-2830-C0CB64286A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0519B4" w14:textId="77777777" w:rsidR="00755613" w:rsidRPr="0021204D" w:rsidRDefault="00755613" w:rsidP="00E87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EE543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b)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Sektori</w:t>
      </w:r>
      <w:proofErr w:type="spellEnd"/>
    </w:p>
    <w:p w14:paraId="45DE2DC1" w14:textId="77777777" w:rsidR="0021204D" w:rsidRPr="0021204D" w:rsidRDefault="0021204D" w:rsidP="00747F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Radovi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rast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PBO i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nizak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prosjek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8E2D09" w14:textId="77777777" w:rsidR="0021204D" w:rsidRPr="0021204D" w:rsidRDefault="0021204D" w:rsidP="00747F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Zdravstvo i Aneks II: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rast vrijednosti, ali ne i konkurencije.</w:t>
      </w:r>
    </w:p>
    <w:p w14:paraId="2462B000" w14:textId="77777777" w:rsidR="0021204D" w:rsidRPr="0021204D" w:rsidRDefault="0021204D" w:rsidP="00747F8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Energetika i komunalije: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dalje visoka koncentracija.</w:t>
      </w:r>
    </w:p>
    <w:p w14:paraId="7906C20B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48ABC2">
          <v:rect id="_x0000_i1035" style="width:0;height:1.5pt" o:hralign="center" o:hrstd="t" o:hr="t" fillcolor="#a0a0a0" stroked="f"/>
        </w:pict>
      </w:r>
    </w:p>
    <w:p w14:paraId="134F1C3B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lastRenderedPageBreak/>
        <w:t>3.5. Koncentracija vrijednosti ugovora (2023)</w:t>
      </w:r>
    </w:p>
    <w:p w14:paraId="5CFABD34" w14:textId="03CB67D2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Grupe ponu</w:t>
      </w:r>
      <w:r w:rsidR="005E46C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1A394F75" w14:textId="77777777" w:rsidR="0021204D" w:rsidRPr="0021204D" w:rsidRDefault="0021204D" w:rsidP="00747F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1.499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(0,61%)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3A9EDA2" w14:textId="77777777" w:rsidR="0021204D" w:rsidRDefault="0021204D" w:rsidP="00747F8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601.625.930,55 KM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11,89%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ukupne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75BF60" w14:textId="28C6B69B" w:rsidR="00755613" w:rsidRPr="00755613" w:rsidRDefault="00755613" w:rsidP="00755613">
      <w:pPr>
        <w:jc w:val="both"/>
        <w:rPr>
          <w:rFonts w:ascii="Times New Roman" w:hAnsi="Times New Roman" w:cs="Times New Roman"/>
          <w:bCs/>
        </w:rPr>
      </w:pPr>
      <w:bookmarkStart w:id="0" w:name="_Hlk215570830"/>
      <w:proofErr w:type="spellStart"/>
      <w:r w:rsidRPr="00755613">
        <w:rPr>
          <w:rFonts w:ascii="Times New Roman" w:hAnsi="Times New Roman" w:cs="Times New Roman"/>
        </w:rPr>
        <w:t>Ukupan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broj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dodijeljenih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ugovora</w:t>
      </w:r>
      <w:proofErr w:type="spellEnd"/>
      <w:r w:rsidRPr="00755613">
        <w:rPr>
          <w:rFonts w:ascii="Times New Roman" w:hAnsi="Times New Roman" w:cs="Times New Roman"/>
        </w:rPr>
        <w:t xml:space="preserve"> u 2023. </w:t>
      </w:r>
      <w:proofErr w:type="spellStart"/>
      <w:r w:rsidRPr="00755613">
        <w:rPr>
          <w:rFonts w:ascii="Times New Roman" w:hAnsi="Times New Roman" w:cs="Times New Roman"/>
        </w:rPr>
        <w:t>godini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iznosio</w:t>
      </w:r>
      <w:proofErr w:type="spellEnd"/>
      <w:r w:rsidRPr="00755613">
        <w:rPr>
          <w:rFonts w:ascii="Times New Roman" w:hAnsi="Times New Roman" w:cs="Times New Roman"/>
        </w:rPr>
        <w:t xml:space="preserve"> je </w:t>
      </w:r>
      <w:r w:rsidRPr="00755613">
        <w:rPr>
          <w:rFonts w:ascii="Times New Roman" w:hAnsi="Times New Roman" w:cs="Times New Roman"/>
          <w:b/>
        </w:rPr>
        <w:t xml:space="preserve">243.860 </w:t>
      </w:r>
      <w:r w:rsidRPr="00755613">
        <w:rPr>
          <w:rFonts w:ascii="Times New Roman" w:hAnsi="Times New Roman" w:cs="Times New Roman"/>
          <w:bCs/>
        </w:rPr>
        <w:t xml:space="preserve">Od </w:t>
      </w:r>
      <w:proofErr w:type="spellStart"/>
      <w:r w:rsidRPr="00755613">
        <w:rPr>
          <w:rFonts w:ascii="Times New Roman" w:hAnsi="Times New Roman" w:cs="Times New Roman"/>
          <w:bCs/>
        </w:rPr>
        <w:t>ukupnog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broj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dodijeljenih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ugovora</w:t>
      </w:r>
      <w:proofErr w:type="spellEnd"/>
      <w:r w:rsidRPr="00755613">
        <w:rPr>
          <w:rFonts w:ascii="Times New Roman" w:hAnsi="Times New Roman" w:cs="Times New Roman"/>
          <w:bCs/>
        </w:rPr>
        <w:t xml:space="preserve">, </w:t>
      </w:r>
      <w:proofErr w:type="spellStart"/>
      <w:r w:rsidRPr="00755613">
        <w:rPr>
          <w:rFonts w:ascii="Times New Roman" w:hAnsi="Times New Roman" w:cs="Times New Roman"/>
          <w:bCs/>
        </w:rPr>
        <w:t>grupi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ponu</w:t>
      </w:r>
      <w:r w:rsidR="005E46C8">
        <w:rPr>
          <w:rFonts w:ascii="Times New Roman" w:hAnsi="Times New Roman" w:cs="Times New Roman"/>
          <w:bCs/>
        </w:rPr>
        <w:t>ditelja</w:t>
      </w:r>
      <w:proofErr w:type="spellEnd"/>
      <w:r w:rsidRPr="00755613">
        <w:rPr>
          <w:rFonts w:ascii="Times New Roman" w:hAnsi="Times New Roman" w:cs="Times New Roman"/>
          <w:bCs/>
        </w:rPr>
        <w:t xml:space="preserve"> je </w:t>
      </w:r>
      <w:proofErr w:type="spellStart"/>
      <w:r w:rsidRPr="00755613">
        <w:rPr>
          <w:rFonts w:ascii="Times New Roman" w:hAnsi="Times New Roman" w:cs="Times New Roman"/>
          <w:bCs/>
        </w:rPr>
        <w:t>dodijeljeno</w:t>
      </w:r>
      <w:proofErr w:type="spellEnd"/>
      <w:r w:rsidRPr="00755613">
        <w:rPr>
          <w:rFonts w:ascii="Times New Roman" w:hAnsi="Times New Roman" w:cs="Times New Roman"/>
          <w:bCs/>
        </w:rPr>
        <w:t xml:space="preserve"> 1.499 </w:t>
      </w:r>
      <w:proofErr w:type="spellStart"/>
      <w:r w:rsidRPr="00755613">
        <w:rPr>
          <w:rFonts w:ascii="Times New Roman" w:hAnsi="Times New Roman" w:cs="Times New Roman"/>
          <w:bCs/>
        </w:rPr>
        <w:t>ugovora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ili</w:t>
      </w:r>
      <w:proofErr w:type="spellEnd"/>
      <w:r w:rsidRPr="00755613">
        <w:rPr>
          <w:rFonts w:ascii="Times New Roman" w:hAnsi="Times New Roman" w:cs="Times New Roman"/>
          <w:bCs/>
        </w:rPr>
        <w:t xml:space="preserve"> 0.61% </w:t>
      </w:r>
      <w:proofErr w:type="spellStart"/>
      <w:r w:rsidRPr="00755613">
        <w:rPr>
          <w:rFonts w:ascii="Times New Roman" w:hAnsi="Times New Roman" w:cs="Times New Roman"/>
          <w:bCs/>
        </w:rPr>
        <w:t>od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ukupnog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broja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dodijeljenih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ugovora</w:t>
      </w:r>
      <w:proofErr w:type="spellEnd"/>
      <w:r w:rsidRPr="00755613">
        <w:rPr>
          <w:rFonts w:ascii="Times New Roman" w:hAnsi="Times New Roman" w:cs="Times New Roman"/>
          <w:bCs/>
        </w:rPr>
        <w:t>.</w:t>
      </w:r>
    </w:p>
    <w:bookmarkEnd w:id="0"/>
    <w:p w14:paraId="45EBD923" w14:textId="78CACBFF" w:rsidR="00755613" w:rsidRPr="00755613" w:rsidRDefault="00755613" w:rsidP="00755613">
      <w:pPr>
        <w:jc w:val="both"/>
        <w:rPr>
          <w:rFonts w:ascii="Times New Roman" w:hAnsi="Times New Roman" w:cs="Times New Roman"/>
        </w:rPr>
      </w:pPr>
      <w:proofErr w:type="spellStart"/>
      <w:r w:rsidRPr="00755613">
        <w:rPr>
          <w:rFonts w:ascii="Times New Roman" w:hAnsi="Times New Roman" w:cs="Times New Roman"/>
          <w:bCs/>
        </w:rPr>
        <w:t>Ukupna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vrijednost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dodijeljenih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ugovora</w:t>
      </w:r>
      <w:proofErr w:type="spellEnd"/>
      <w:r w:rsidRPr="00755613">
        <w:rPr>
          <w:rFonts w:ascii="Times New Roman" w:hAnsi="Times New Roman" w:cs="Times New Roman"/>
          <w:bCs/>
        </w:rPr>
        <w:t xml:space="preserve"> u </w:t>
      </w:r>
      <w:proofErr w:type="spellStart"/>
      <w:r w:rsidRPr="00755613">
        <w:rPr>
          <w:rFonts w:ascii="Times New Roman" w:hAnsi="Times New Roman" w:cs="Times New Roman"/>
          <w:bCs/>
        </w:rPr>
        <w:t>postupcima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javnih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nabav</w:t>
      </w:r>
      <w:r w:rsidR="005E46C8">
        <w:rPr>
          <w:rFonts w:ascii="Times New Roman" w:hAnsi="Times New Roman" w:cs="Times New Roman"/>
          <w:bCs/>
        </w:rPr>
        <w:t>a</w:t>
      </w:r>
      <w:proofErr w:type="spellEnd"/>
      <w:r w:rsidRPr="00755613">
        <w:rPr>
          <w:rFonts w:ascii="Times New Roman" w:hAnsi="Times New Roman" w:cs="Times New Roman"/>
          <w:bCs/>
        </w:rPr>
        <w:t xml:space="preserve"> u 2023. </w:t>
      </w:r>
      <w:proofErr w:type="spellStart"/>
      <w:r w:rsidRPr="00755613">
        <w:rPr>
          <w:rFonts w:ascii="Times New Roman" w:hAnsi="Times New Roman" w:cs="Times New Roman"/>
          <w:bCs/>
        </w:rPr>
        <w:t>godini</w:t>
      </w:r>
      <w:proofErr w:type="spellEnd"/>
      <w:r w:rsidRPr="00755613">
        <w:rPr>
          <w:rFonts w:ascii="Times New Roman" w:hAnsi="Times New Roman" w:cs="Times New Roman"/>
          <w:bCs/>
        </w:rPr>
        <w:t xml:space="preserve"> </w:t>
      </w:r>
      <w:proofErr w:type="spellStart"/>
      <w:r w:rsidRPr="00755613">
        <w:rPr>
          <w:rFonts w:ascii="Times New Roman" w:hAnsi="Times New Roman" w:cs="Times New Roman"/>
          <w:bCs/>
        </w:rPr>
        <w:t>iznosila</w:t>
      </w:r>
      <w:proofErr w:type="spellEnd"/>
      <w:r w:rsidRPr="00755613">
        <w:rPr>
          <w:rFonts w:ascii="Times New Roman" w:hAnsi="Times New Roman" w:cs="Times New Roman"/>
          <w:bCs/>
        </w:rPr>
        <w:t xml:space="preserve"> je </w:t>
      </w:r>
      <w:r w:rsidRPr="00755613">
        <w:rPr>
          <w:rFonts w:ascii="Times New Roman" w:hAnsi="Times New Roman" w:cs="Times New Roman"/>
        </w:rPr>
        <w:t xml:space="preserve">5.060.132.125,61 KM. </w:t>
      </w:r>
      <w:proofErr w:type="spellStart"/>
      <w:r w:rsidRPr="00755613">
        <w:rPr>
          <w:rFonts w:ascii="Times New Roman" w:hAnsi="Times New Roman" w:cs="Times New Roman"/>
        </w:rPr>
        <w:t>Vrijednost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dodijeljenih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ugovora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grupi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ponu</w:t>
      </w:r>
      <w:r w:rsidR="005E46C8">
        <w:rPr>
          <w:rFonts w:ascii="Times New Roman" w:hAnsi="Times New Roman" w:cs="Times New Roman"/>
        </w:rPr>
        <w:t>ditelja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iznosila</w:t>
      </w:r>
      <w:proofErr w:type="spellEnd"/>
      <w:r w:rsidRPr="00755613">
        <w:rPr>
          <w:rFonts w:ascii="Times New Roman" w:hAnsi="Times New Roman" w:cs="Times New Roman"/>
        </w:rPr>
        <w:t xml:space="preserve"> je 601.625.930,55 KM, </w:t>
      </w:r>
      <w:proofErr w:type="spellStart"/>
      <w:r w:rsidRPr="00755613">
        <w:rPr>
          <w:rFonts w:ascii="Times New Roman" w:hAnsi="Times New Roman" w:cs="Times New Roman"/>
        </w:rPr>
        <w:t>odnosno</w:t>
      </w:r>
      <w:proofErr w:type="spellEnd"/>
      <w:r w:rsidRPr="00755613">
        <w:rPr>
          <w:rFonts w:ascii="Times New Roman" w:hAnsi="Times New Roman" w:cs="Times New Roman"/>
        </w:rPr>
        <w:t xml:space="preserve"> 11,89 % </w:t>
      </w:r>
      <w:proofErr w:type="spellStart"/>
      <w:r w:rsidRPr="00755613">
        <w:rPr>
          <w:rFonts w:ascii="Times New Roman" w:hAnsi="Times New Roman" w:cs="Times New Roman"/>
        </w:rPr>
        <w:t>ukupne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vrijednosti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svih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dodijeljenih</w:t>
      </w:r>
      <w:proofErr w:type="spellEnd"/>
      <w:r w:rsidRPr="00755613">
        <w:rPr>
          <w:rFonts w:ascii="Times New Roman" w:hAnsi="Times New Roman" w:cs="Times New Roman"/>
        </w:rPr>
        <w:t xml:space="preserve"> </w:t>
      </w:r>
      <w:proofErr w:type="spellStart"/>
      <w:r w:rsidRPr="00755613">
        <w:rPr>
          <w:rFonts w:ascii="Times New Roman" w:hAnsi="Times New Roman" w:cs="Times New Roman"/>
        </w:rPr>
        <w:t>ugovora</w:t>
      </w:r>
      <w:proofErr w:type="spellEnd"/>
      <w:r w:rsidRPr="00755613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755613" w:rsidRPr="00832BEF" w14:paraId="7B28D68B" w14:textId="77777777" w:rsidTr="00E0702C">
        <w:trPr>
          <w:jc w:val="center"/>
        </w:trPr>
        <w:tc>
          <w:tcPr>
            <w:tcW w:w="3118" w:type="dxa"/>
            <w:vMerge w:val="restart"/>
            <w:shd w:val="clear" w:color="auto" w:fill="FFFF00"/>
          </w:tcPr>
          <w:p w14:paraId="5C56492B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FFFF00"/>
          </w:tcPr>
          <w:p w14:paraId="7541DF85" w14:textId="0528A8AE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Grupa ponu</w:t>
            </w:r>
            <w:r w:rsidR="005E46C8">
              <w:rPr>
                <w:rFonts w:ascii="Times New Roman" w:hAnsi="Times New Roman" w:cs="Times New Roman"/>
                <w:sz w:val="18"/>
                <w:szCs w:val="18"/>
              </w:rPr>
              <w:t>ditelja</w:t>
            </w:r>
          </w:p>
        </w:tc>
      </w:tr>
      <w:tr w:rsidR="00755613" w:rsidRPr="00832BEF" w14:paraId="3071DCB0" w14:textId="77777777" w:rsidTr="00E0702C">
        <w:trPr>
          <w:jc w:val="center"/>
        </w:trPr>
        <w:tc>
          <w:tcPr>
            <w:tcW w:w="3118" w:type="dxa"/>
            <w:vMerge/>
            <w:shd w:val="clear" w:color="auto" w:fill="FFFF00"/>
          </w:tcPr>
          <w:p w14:paraId="68BB7B9E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shd w:val="clear" w:color="auto" w:fill="FFFF00"/>
          </w:tcPr>
          <w:p w14:paraId="7B82569A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3116" w:type="dxa"/>
            <w:shd w:val="clear" w:color="auto" w:fill="FFFF00"/>
          </w:tcPr>
          <w:p w14:paraId="52415BF6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755613" w:rsidRPr="00832BEF" w14:paraId="1192D5AB" w14:textId="77777777" w:rsidTr="00E0702C">
        <w:trPr>
          <w:trHeight w:val="233"/>
          <w:jc w:val="center"/>
        </w:trPr>
        <w:tc>
          <w:tcPr>
            <w:tcW w:w="3118" w:type="dxa"/>
            <w:vMerge/>
            <w:shd w:val="clear" w:color="auto" w:fill="FFFF00"/>
          </w:tcPr>
          <w:p w14:paraId="1B2C0A21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shd w:val="clear" w:color="auto" w:fill="FFFF00"/>
          </w:tcPr>
          <w:p w14:paraId="038D64B1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</w:tc>
        <w:tc>
          <w:tcPr>
            <w:tcW w:w="3116" w:type="dxa"/>
            <w:shd w:val="clear" w:color="auto" w:fill="FFFF00"/>
          </w:tcPr>
          <w:p w14:paraId="625C7F77" w14:textId="77777777" w:rsidR="00755613" w:rsidRPr="00755613" w:rsidRDefault="00755613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</w:tc>
      </w:tr>
      <w:tr w:rsidR="00755613" w:rsidRPr="00832BEF" w14:paraId="451F6F1B" w14:textId="77777777" w:rsidTr="00E0702C">
        <w:trPr>
          <w:jc w:val="center"/>
        </w:trPr>
        <w:tc>
          <w:tcPr>
            <w:tcW w:w="3118" w:type="dxa"/>
            <w:shd w:val="clear" w:color="auto" w:fill="FFFF00"/>
          </w:tcPr>
          <w:p w14:paraId="491BC801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Robe</w:t>
            </w:r>
          </w:p>
        </w:tc>
        <w:tc>
          <w:tcPr>
            <w:tcW w:w="3116" w:type="dxa"/>
            <w:vAlign w:val="bottom"/>
          </w:tcPr>
          <w:p w14:paraId="49D4A1C2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58.906.906,78</w:t>
            </w:r>
          </w:p>
        </w:tc>
        <w:tc>
          <w:tcPr>
            <w:tcW w:w="3116" w:type="dxa"/>
            <w:vAlign w:val="bottom"/>
          </w:tcPr>
          <w:p w14:paraId="7D4E6FAE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76.844.536,26</w:t>
            </w:r>
          </w:p>
        </w:tc>
      </w:tr>
      <w:tr w:rsidR="00755613" w:rsidRPr="00832BEF" w14:paraId="2799783F" w14:textId="77777777" w:rsidTr="00E0702C">
        <w:trPr>
          <w:jc w:val="center"/>
        </w:trPr>
        <w:tc>
          <w:tcPr>
            <w:tcW w:w="3118" w:type="dxa"/>
            <w:shd w:val="clear" w:color="auto" w:fill="FFFF00"/>
          </w:tcPr>
          <w:p w14:paraId="61F63340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>Usluge</w:t>
            </w:r>
          </w:p>
        </w:tc>
        <w:tc>
          <w:tcPr>
            <w:tcW w:w="3116" w:type="dxa"/>
            <w:vAlign w:val="bottom"/>
          </w:tcPr>
          <w:p w14:paraId="3D19134A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224.685.705,20</w:t>
            </w:r>
          </w:p>
        </w:tc>
        <w:tc>
          <w:tcPr>
            <w:tcW w:w="3116" w:type="dxa"/>
            <w:vAlign w:val="bottom"/>
          </w:tcPr>
          <w:p w14:paraId="0605CD16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153.085.820,99</w:t>
            </w:r>
          </w:p>
        </w:tc>
      </w:tr>
      <w:tr w:rsidR="00755613" w:rsidRPr="00832BEF" w14:paraId="2B356A90" w14:textId="77777777" w:rsidTr="00E0702C">
        <w:trPr>
          <w:jc w:val="center"/>
        </w:trPr>
        <w:tc>
          <w:tcPr>
            <w:tcW w:w="3118" w:type="dxa"/>
            <w:shd w:val="clear" w:color="auto" w:fill="FFFF00"/>
          </w:tcPr>
          <w:p w14:paraId="45A6C5A7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</w:rPr>
              <w:t xml:space="preserve">Radovi </w:t>
            </w:r>
          </w:p>
        </w:tc>
        <w:tc>
          <w:tcPr>
            <w:tcW w:w="3116" w:type="dxa"/>
            <w:vAlign w:val="bottom"/>
          </w:tcPr>
          <w:p w14:paraId="29F97D6C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635.768.113,79</w:t>
            </w:r>
          </w:p>
        </w:tc>
        <w:tc>
          <w:tcPr>
            <w:tcW w:w="3116" w:type="dxa"/>
            <w:vAlign w:val="bottom"/>
          </w:tcPr>
          <w:p w14:paraId="634D6555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371.695.573,30</w:t>
            </w:r>
          </w:p>
        </w:tc>
      </w:tr>
      <w:tr w:rsidR="00755613" w:rsidRPr="00832BEF" w14:paraId="73D6167F" w14:textId="77777777" w:rsidTr="00E0702C">
        <w:trPr>
          <w:jc w:val="center"/>
        </w:trPr>
        <w:tc>
          <w:tcPr>
            <w:tcW w:w="3118" w:type="dxa"/>
            <w:shd w:val="clear" w:color="auto" w:fill="FFFF00"/>
          </w:tcPr>
          <w:p w14:paraId="3B45D361" w14:textId="77777777" w:rsidR="00755613" w:rsidRPr="00755613" w:rsidRDefault="00755613" w:rsidP="00E070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613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</w:p>
        </w:tc>
        <w:tc>
          <w:tcPr>
            <w:tcW w:w="3116" w:type="dxa"/>
            <w:vAlign w:val="bottom"/>
          </w:tcPr>
          <w:p w14:paraId="00CB0B81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919.360.725,77</w:t>
            </w:r>
          </w:p>
        </w:tc>
        <w:tc>
          <w:tcPr>
            <w:tcW w:w="3116" w:type="dxa"/>
            <w:vAlign w:val="bottom"/>
          </w:tcPr>
          <w:p w14:paraId="0885107C" w14:textId="77777777" w:rsidR="00755613" w:rsidRPr="00755613" w:rsidRDefault="00755613" w:rsidP="00E0702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755613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601.625.930,55</w:t>
            </w:r>
          </w:p>
        </w:tc>
      </w:tr>
    </w:tbl>
    <w:p w14:paraId="490E272F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Udio konzorcija se vrijednosno smanjuje (sa 20,84% na 11,89%), ali:</w:t>
      </w:r>
    </w:p>
    <w:p w14:paraId="77D043B7" w14:textId="6F666E0C" w:rsidR="005168F2" w:rsidRPr="005168F2" w:rsidRDefault="005168F2" w:rsidP="005168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5168F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Iako se struktura postupaka mijenja, to ne znači da dolazi do veće disperzije konkurencije. Dio velikih ugovora prelazi u druge oblike – poput pojedinačnih nosilaca, pregovaračkih postupaka bez objave (PBO) ili okvirnih sporazuma – što formalno mijenja distribuciju postupaka, ali ne i stvarnu širinu baze </w:t>
      </w:r>
      <w:r w:rsidR="005E46C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sudionika</w:t>
      </w:r>
      <w:r w:rsidRPr="005168F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 Koncentracija po sektorima ostaje izrazito visoka, posebno u radovima, komunalnim uslugama i zdravstvenom sektoru, gdje svega nekoliko dominantnih dobavljača drži ključne tržišne pozicije.</w:t>
      </w:r>
    </w:p>
    <w:p w14:paraId="0BC2B11B" w14:textId="77777777" w:rsidR="005168F2" w:rsidRPr="005168F2" w:rsidRDefault="005168F2" w:rsidP="005168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Implikacije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47110265" w14:textId="77777777" w:rsidR="005168F2" w:rsidRPr="005168F2" w:rsidRDefault="005168F2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tržište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postaje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konkurentnije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već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dominantne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pozicije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samo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premještaju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različite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proceduralne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forme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7295AF42" w14:textId="77777777" w:rsidR="005168F2" w:rsidRPr="005168F2" w:rsidRDefault="005168F2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veliki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ugovori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izlaze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konkurentskih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procedura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čime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smanjuje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transparentnost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mogućnost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tržišnog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nadmetanja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73717D9F" w14:textId="77777777" w:rsidR="005168F2" w:rsidRPr="005168F2" w:rsidRDefault="005168F2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sektorska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koncentracija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ostaje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strukturni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problem</w:t>
      </w:r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posebno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oblastima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visokih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specijaliziranih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usluga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63ED2655" w14:textId="357D017D" w:rsidR="005168F2" w:rsidRPr="005168F2" w:rsidRDefault="005168F2" w:rsidP="00747F81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rizik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od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dugoročnog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"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zaključavanja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tržišta</w:t>
      </w:r>
      <w:proofErr w:type="spellEnd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" </w:t>
      </w:r>
      <w:proofErr w:type="spellStart"/>
      <w:r w:rsidRPr="005168F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raste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jer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se novi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ponu</w:t>
      </w:r>
      <w:r w:rsidR="002A1FD1">
        <w:rPr>
          <w:rFonts w:ascii="Times New Roman" w:eastAsia="Times New Roman" w:hAnsi="Times New Roman" w:cs="Times New Roman"/>
          <w:kern w:val="0"/>
          <w14:ligatures w14:val="none"/>
        </w:rPr>
        <w:t>ditelji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teško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uključuju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ustaljene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tokove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nabav</w:t>
      </w:r>
      <w:r w:rsidR="002A1FD1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5168F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97D30F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4F22E74">
          <v:rect id="_x0000_i1036" style="width:0;height:1.5pt" o:hralign="center" o:hrstd="t" o:hr="t" fillcolor="#a0a0a0" stroked="f"/>
        </w:pict>
      </w:r>
    </w:p>
    <w:p w14:paraId="3E88CBFA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3.6. Poništavanje postupaka (2023)</w:t>
      </w:r>
    </w:p>
    <w:p w14:paraId="21061462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 xml:space="preserve">Razlozi se ponavljaju kao u 2022, ali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 većim intenzitetom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0148AFEC" w14:textId="77777777" w:rsidR="0021204D" w:rsidRPr="0021204D" w:rsidRDefault="0021204D" w:rsidP="00747F8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nema ponuda ili neprihvatljive ponude – sve češće,</w:t>
      </w:r>
    </w:p>
    <w:p w14:paraId="5C91ACAD" w14:textId="60B1A9A7" w:rsidR="0021204D" w:rsidRPr="0021204D" w:rsidRDefault="0021204D" w:rsidP="00747F8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rast cijena (inflacija) dovodi do prevazilaženja </w:t>
      </w:r>
      <w:r w:rsidR="002A1FD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proračuna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B9A4EAD" w14:textId="2DF54B67" w:rsidR="0021204D" w:rsidRPr="0021204D" w:rsidRDefault="00541E8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Učinak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konkurenciju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9C92262" w14:textId="5C30A521" w:rsidR="0021204D" w:rsidRPr="0021204D" w:rsidRDefault="0021204D" w:rsidP="00747F8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ponavljanje postupaka dodatno smanjuje interes ponu</w:t>
      </w:r>
      <w:r w:rsidR="002A1FD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4438D3C8" w14:textId="77777777" w:rsidR="0021204D" w:rsidRPr="0021204D" w:rsidRDefault="0021204D" w:rsidP="00747F8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rizik da novi postupak ima još manje ponuda.</w:t>
      </w:r>
    </w:p>
    <w:p w14:paraId="532172C0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ED1773">
          <v:rect id="_x0000_i1037" style="width:0;height:1.5pt" o:hralign="center" o:hrstd="t" o:hr="t" fillcolor="#a0a0a0" stroked="f"/>
        </w:pict>
      </w:r>
    </w:p>
    <w:p w14:paraId="453C1A73" w14:textId="77777777" w:rsid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3.7.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Dodatni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faktori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(2023)</w:t>
      </w:r>
    </w:p>
    <w:p w14:paraId="2E69FDF0" w14:textId="77777777" w:rsidR="005903EF" w:rsidRPr="005903EF" w:rsidRDefault="005903EF" w:rsidP="00747F8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5903E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e-aukcije</w:t>
      </w:r>
      <w:r w:rsidRPr="005903EF">
        <w:rPr>
          <w:lang w:val="pt-BR"/>
        </w:rPr>
        <w:t xml:space="preserve"> </w:t>
      </w:r>
    </w:p>
    <w:p w14:paraId="07B2B702" w14:textId="313A743C" w:rsidR="00C369BB" w:rsidRPr="005903EF" w:rsidRDefault="00C369BB" w:rsidP="005903EF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5903EF">
        <w:rPr>
          <w:rFonts w:ascii="Times New Roman" w:hAnsi="Times New Roman" w:cs="Times New Roman"/>
          <w:lang w:val="pt-BR"/>
        </w:rPr>
        <w:t xml:space="preserve">U 2023. godini provedeno je 13.123 e-aukcija koje su rezultirale sa 12.543 ugovora i ukupnom uštedom od oko 106 miliona KM. Iako je broj aukcija gotovo identičan kao 2022, ostvarene uštede su niže. To je signal da je </w:t>
      </w:r>
      <w:r w:rsidRPr="005903EF">
        <w:rPr>
          <w:rStyle w:val="Strong"/>
          <w:rFonts w:ascii="Times New Roman" w:hAnsi="Times New Roman" w:cs="Times New Roman"/>
          <w:lang w:val="pt-BR"/>
        </w:rPr>
        <w:t>bazna konkurencija oslabila</w:t>
      </w:r>
      <w:r w:rsidRPr="005903EF">
        <w:rPr>
          <w:rFonts w:ascii="Times New Roman" w:hAnsi="Times New Roman" w:cs="Times New Roman"/>
          <w:lang w:val="pt-BR"/>
        </w:rPr>
        <w:t xml:space="preserve">: smanjenje broja </w:t>
      </w:r>
      <w:r w:rsidR="002A1FD1">
        <w:rPr>
          <w:rFonts w:ascii="Times New Roman" w:hAnsi="Times New Roman" w:cs="Times New Roman"/>
          <w:lang w:val="pt-BR"/>
        </w:rPr>
        <w:t>sudionika</w:t>
      </w:r>
      <w:r w:rsidRPr="005903EF">
        <w:rPr>
          <w:rFonts w:ascii="Times New Roman" w:hAnsi="Times New Roman" w:cs="Times New Roman"/>
          <w:lang w:val="pt-BR"/>
        </w:rPr>
        <w:t xml:space="preserve"> </w:t>
      </w:r>
      <w:r w:rsidR="002A1FD1">
        <w:rPr>
          <w:rFonts w:ascii="Times New Roman" w:hAnsi="Times New Roman" w:cs="Times New Roman"/>
          <w:lang w:val="pt-BR"/>
        </w:rPr>
        <w:t>izravno</w:t>
      </w:r>
      <w:r w:rsidRPr="005903EF">
        <w:rPr>
          <w:rFonts w:ascii="Times New Roman" w:hAnsi="Times New Roman" w:cs="Times New Roman"/>
          <w:lang w:val="pt-BR"/>
        </w:rPr>
        <w:t xml:space="preserve"> umanjuje potencijal aukcije da gener</w:t>
      </w:r>
      <w:r w:rsidR="002A1FD1">
        <w:rPr>
          <w:rFonts w:ascii="Times New Roman" w:hAnsi="Times New Roman" w:cs="Times New Roman"/>
          <w:lang w:val="pt-BR"/>
        </w:rPr>
        <w:t>ira</w:t>
      </w:r>
      <w:r w:rsidRPr="005903EF">
        <w:rPr>
          <w:rFonts w:ascii="Times New Roman" w:hAnsi="Times New Roman" w:cs="Times New Roman"/>
          <w:lang w:val="pt-BR"/>
        </w:rPr>
        <w:t xml:space="preserve"> snižavanje cijena.</w:t>
      </w:r>
    </w:p>
    <w:p w14:paraId="795EE12B" w14:textId="77777777" w:rsidR="0021204D" w:rsidRPr="00E274AC" w:rsidRDefault="0021204D" w:rsidP="00747F8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Okvirni sporazumi</w:t>
      </w:r>
      <w:r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 1.154.951.750,34 KM – ≈ 26,59% vrijednosti Poglavlja I i V, ≈ 22,82% svih ugovora.</w:t>
      </w:r>
    </w:p>
    <w:p w14:paraId="47F12E00" w14:textId="77777777" w:rsidR="0021204D" w:rsidRPr="0021204D" w:rsidRDefault="0021204D" w:rsidP="00747F8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okvirni sporazumi postaju još važniji instrument.</w:t>
      </w:r>
    </w:p>
    <w:p w14:paraId="0A7E87C0" w14:textId="65F023CC" w:rsidR="0021204D" w:rsidRPr="0021204D" w:rsidRDefault="0021204D" w:rsidP="00747F8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Zajedničke nabave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 7.003.071,31 KM (0,14%) – još manji udio nego 2022.</w:t>
      </w:r>
    </w:p>
    <w:p w14:paraId="332A8ABF" w14:textId="0F4274C4" w:rsidR="0021204D" w:rsidRPr="0021204D" w:rsidRDefault="0021204D" w:rsidP="00747F8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centralizacija i dalje nema s</w:t>
      </w:r>
      <w:r w:rsidR="002A1FD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ustavni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541E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učinak 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na konkurenciju.</w:t>
      </w:r>
    </w:p>
    <w:p w14:paraId="02198B7F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7A93B44">
          <v:rect id="_x0000_i1038" style="width:0;height:1.5pt" o:hralign="center" o:hrstd="t" o:hr="t" fillcolor="#a0a0a0" stroked="f"/>
        </w:pict>
      </w:r>
    </w:p>
    <w:p w14:paraId="29092CE7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3.8.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Ključni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nalaz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za 2023.</w:t>
      </w:r>
    </w:p>
    <w:p w14:paraId="2EB60EA3" w14:textId="7DFE0B40" w:rsidR="0021204D" w:rsidRPr="00C44EF3" w:rsidRDefault="00C44EF3" w:rsidP="00C44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44EF3">
        <w:rPr>
          <w:rFonts w:ascii="Times New Roman" w:hAnsi="Times New Roman" w:cs="Times New Roman"/>
        </w:rPr>
        <w:t xml:space="preserve">Godina 2023. </w:t>
      </w:r>
      <w:proofErr w:type="spellStart"/>
      <w:r w:rsidRPr="00C44EF3">
        <w:rPr>
          <w:rFonts w:ascii="Times New Roman" w:hAnsi="Times New Roman" w:cs="Times New Roman"/>
        </w:rPr>
        <w:t>pokazuje</w:t>
      </w:r>
      <w:proofErr w:type="spellEnd"/>
      <w:r w:rsidRPr="00C44EF3">
        <w:rPr>
          <w:rFonts w:ascii="Times New Roman" w:hAnsi="Times New Roman" w:cs="Times New Roman"/>
        </w:rPr>
        <w:t xml:space="preserve"> </w:t>
      </w:r>
      <w:proofErr w:type="spellStart"/>
      <w:r w:rsidRPr="00C44EF3">
        <w:rPr>
          <w:rFonts w:ascii="Times New Roman" w:hAnsi="Times New Roman" w:cs="Times New Roman"/>
        </w:rPr>
        <w:t>najniž</w:t>
      </w:r>
      <w:r w:rsidR="002A1FD1">
        <w:rPr>
          <w:rFonts w:ascii="Times New Roman" w:hAnsi="Times New Roman" w:cs="Times New Roman"/>
        </w:rPr>
        <w:t>u</w:t>
      </w:r>
      <w:proofErr w:type="spellEnd"/>
      <w:r w:rsidR="002A1FD1">
        <w:rPr>
          <w:rFonts w:ascii="Times New Roman" w:hAnsi="Times New Roman" w:cs="Times New Roman"/>
        </w:rPr>
        <w:t xml:space="preserve"> </w:t>
      </w:r>
      <w:proofErr w:type="spellStart"/>
      <w:r w:rsidR="002A1FD1">
        <w:rPr>
          <w:rFonts w:ascii="Times New Roman" w:hAnsi="Times New Roman" w:cs="Times New Roman"/>
        </w:rPr>
        <w:t>razinu</w:t>
      </w:r>
      <w:proofErr w:type="spellEnd"/>
      <w:r w:rsidRPr="00C44EF3">
        <w:rPr>
          <w:rFonts w:ascii="Times New Roman" w:hAnsi="Times New Roman" w:cs="Times New Roman"/>
        </w:rPr>
        <w:t xml:space="preserve"> </w:t>
      </w:r>
      <w:proofErr w:type="spellStart"/>
      <w:r w:rsidRPr="00C44EF3">
        <w:rPr>
          <w:rFonts w:ascii="Times New Roman" w:hAnsi="Times New Roman" w:cs="Times New Roman"/>
        </w:rPr>
        <w:t>konkurencije</w:t>
      </w:r>
      <w:proofErr w:type="spellEnd"/>
      <w:r w:rsidRPr="00C44EF3">
        <w:rPr>
          <w:rFonts w:ascii="Times New Roman" w:hAnsi="Times New Roman" w:cs="Times New Roman"/>
        </w:rPr>
        <w:t xml:space="preserve"> u </w:t>
      </w:r>
      <w:proofErr w:type="spellStart"/>
      <w:r w:rsidRPr="00C44EF3">
        <w:rPr>
          <w:rFonts w:ascii="Times New Roman" w:hAnsi="Times New Roman" w:cs="Times New Roman"/>
        </w:rPr>
        <w:t>posljednjih</w:t>
      </w:r>
      <w:proofErr w:type="spellEnd"/>
      <w:r w:rsidRPr="00C44EF3">
        <w:rPr>
          <w:rFonts w:ascii="Times New Roman" w:hAnsi="Times New Roman" w:cs="Times New Roman"/>
        </w:rPr>
        <w:t xml:space="preserve"> </w:t>
      </w:r>
      <w:proofErr w:type="spellStart"/>
      <w:r w:rsidRPr="00C44EF3">
        <w:rPr>
          <w:rFonts w:ascii="Times New Roman" w:hAnsi="Times New Roman" w:cs="Times New Roman"/>
        </w:rPr>
        <w:t>nekoliko</w:t>
      </w:r>
      <w:proofErr w:type="spellEnd"/>
      <w:r w:rsidRPr="00C44EF3">
        <w:rPr>
          <w:rFonts w:ascii="Times New Roman" w:hAnsi="Times New Roman" w:cs="Times New Roman"/>
        </w:rPr>
        <w:t xml:space="preserve"> </w:t>
      </w:r>
      <w:proofErr w:type="spellStart"/>
      <w:r w:rsidRPr="00C44EF3">
        <w:rPr>
          <w:rFonts w:ascii="Times New Roman" w:hAnsi="Times New Roman" w:cs="Times New Roman"/>
        </w:rPr>
        <w:t>godina</w:t>
      </w:r>
      <w:proofErr w:type="spellEnd"/>
      <w:r w:rsidRPr="00C44EF3">
        <w:rPr>
          <w:rFonts w:ascii="Times New Roman" w:hAnsi="Times New Roman" w:cs="Times New Roman"/>
        </w:rPr>
        <w:t xml:space="preserve">. </w:t>
      </w:r>
      <w:r w:rsidRPr="00C44EF3">
        <w:rPr>
          <w:rFonts w:ascii="Times New Roman" w:hAnsi="Times New Roman" w:cs="Times New Roman"/>
          <w:lang w:val="pt-BR"/>
        </w:rPr>
        <w:t xml:space="preserve">Prosječan broj ponuda pada na rekordno niskih 1,62, dok se udio single-bid postupaka dodatno povećava. Istovremeno, u oba entiteta bilježi se snažna upotreba pregovaračkih postupaka bez objave, što dodatno smanjuje tržišno </w:t>
      </w:r>
      <w:r w:rsidR="002A1FD1">
        <w:rPr>
          <w:rFonts w:ascii="Times New Roman" w:hAnsi="Times New Roman" w:cs="Times New Roman"/>
          <w:lang w:val="pt-BR"/>
        </w:rPr>
        <w:t>natjecanje</w:t>
      </w:r>
      <w:r w:rsidRPr="00C44EF3">
        <w:rPr>
          <w:rFonts w:ascii="Times New Roman" w:hAnsi="Times New Roman" w:cs="Times New Roman"/>
          <w:lang w:val="pt-BR"/>
        </w:rPr>
        <w:t xml:space="preserve">. Okvirni sporazumi preuzimaju veliki dio tržišta, dok je </w:t>
      </w:r>
      <w:r w:rsidR="00E760F4">
        <w:rPr>
          <w:rFonts w:ascii="Times New Roman" w:hAnsi="Times New Roman" w:cs="Times New Roman"/>
          <w:lang w:val="pt-BR"/>
        </w:rPr>
        <w:t xml:space="preserve">opseg </w:t>
      </w:r>
      <w:r w:rsidRPr="00C44EF3">
        <w:rPr>
          <w:rFonts w:ascii="Times New Roman" w:hAnsi="Times New Roman" w:cs="Times New Roman"/>
          <w:lang w:val="pt-BR"/>
        </w:rPr>
        <w:t>centraliziranih nabav</w:t>
      </w:r>
      <w:r w:rsidR="002A1FD1">
        <w:rPr>
          <w:rFonts w:ascii="Times New Roman" w:hAnsi="Times New Roman" w:cs="Times New Roman"/>
          <w:lang w:val="pt-BR"/>
        </w:rPr>
        <w:t>a</w:t>
      </w:r>
      <w:r w:rsidRPr="00C44EF3">
        <w:rPr>
          <w:rFonts w:ascii="Times New Roman" w:hAnsi="Times New Roman" w:cs="Times New Roman"/>
          <w:lang w:val="pt-BR"/>
        </w:rPr>
        <w:t xml:space="preserve"> i dalje zanemariv, bez mjerljivog </w:t>
      </w:r>
      <w:r w:rsidR="00541E8F">
        <w:rPr>
          <w:rFonts w:ascii="Times New Roman" w:hAnsi="Times New Roman" w:cs="Times New Roman"/>
          <w:lang w:val="pt-BR"/>
        </w:rPr>
        <w:t>učinaka</w:t>
      </w:r>
      <w:r w:rsidRPr="00C44EF3">
        <w:rPr>
          <w:rFonts w:ascii="Times New Roman" w:hAnsi="Times New Roman" w:cs="Times New Roman"/>
          <w:lang w:val="pt-BR"/>
        </w:rPr>
        <w:t xml:space="preserve"> na konkurenciju. Sve ove tendencije ukazuju da je 2023. godina obilježena strukturnim slabljenjem tržišne dinamike i s</w:t>
      </w:r>
      <w:r w:rsidR="002A1FD1">
        <w:rPr>
          <w:rFonts w:ascii="Times New Roman" w:hAnsi="Times New Roman" w:cs="Times New Roman"/>
          <w:lang w:val="pt-BR"/>
        </w:rPr>
        <w:t>ustavnim</w:t>
      </w:r>
      <w:r w:rsidRPr="00C44EF3">
        <w:rPr>
          <w:rFonts w:ascii="Times New Roman" w:hAnsi="Times New Roman" w:cs="Times New Roman"/>
          <w:lang w:val="pt-BR"/>
        </w:rPr>
        <w:t xml:space="preserve"> padom </w:t>
      </w:r>
      <w:r w:rsidR="002A1FD1" w:rsidRPr="001F2F7B">
        <w:rPr>
          <w:rFonts w:ascii="Times New Roman" w:hAnsi="Times New Roman" w:cs="Times New Roman"/>
          <w:lang w:val="pt-BR"/>
        </w:rPr>
        <w:t>konkurencijskog pritiska</w:t>
      </w:r>
      <w:r w:rsidRPr="00C44EF3">
        <w:rPr>
          <w:lang w:val="pt-BR"/>
        </w:rPr>
        <w:t>.</w:t>
      </w:r>
      <w:r w:rsidR="004F4BCE">
        <w:rPr>
          <w:rFonts w:ascii="Times New Roman" w:eastAsia="Times New Roman" w:hAnsi="Times New Roman" w:cs="Times New Roman"/>
          <w:kern w:val="0"/>
          <w14:ligatures w14:val="none"/>
        </w:rPr>
        <w:pict w14:anchorId="62538B26">
          <v:rect id="_x0000_i1039" style="width:0;height:1.5pt" o:hralign="center" o:hrstd="t" o:hr="t" fillcolor="#a0a0a0" stroked="f"/>
        </w:pict>
      </w:r>
    </w:p>
    <w:p w14:paraId="195C4395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BR"/>
          <w14:ligatures w14:val="none"/>
        </w:rPr>
        <w:t>4. Konkurencija u 2024. godini</w:t>
      </w:r>
    </w:p>
    <w:p w14:paraId="03995FBC" w14:textId="77777777" w:rsidR="0021204D" w:rsidRPr="005233A7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4.1. Broj i struktura ponuda</w:t>
      </w:r>
    </w:p>
    <w:p w14:paraId="2DFA500B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U 2024. godini dolazi do blagog oporavka:</w:t>
      </w:r>
    </w:p>
    <w:p w14:paraId="76DD77EE" w14:textId="77777777" w:rsidR="0021204D" w:rsidRPr="0021204D" w:rsidRDefault="0021204D" w:rsidP="00747F8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prosječan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primljenih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1,75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94EDFAC" w14:textId="77777777" w:rsidR="0021204D" w:rsidRDefault="0021204D" w:rsidP="00747F8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prosječan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prihvatljivih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1,61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70E808" w14:textId="32823F18" w:rsidR="00C2051F" w:rsidRPr="0021204D" w:rsidRDefault="00C2051F" w:rsidP="00C2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49BB3A6F" wp14:editId="434D5562">
            <wp:extent cx="5943600" cy="2566035"/>
            <wp:effectExtent l="0" t="0" r="0" b="5715"/>
            <wp:docPr id="18027482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1FE6768-379F-B0B9-057F-5A1FFF991B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E786DA" w14:textId="60FC3A82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To je i dalje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ispod minimalno poželjn</w:t>
      </w:r>
      <w:r w:rsidR="002A1FD1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e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2A1FD1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razine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ali bolje nego u 2023.</w:t>
      </w:r>
    </w:p>
    <w:p w14:paraId="3A2D29F8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a)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Poglavlje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 (2024)</w:t>
      </w:r>
    </w:p>
    <w:p w14:paraId="71AFE196" w14:textId="77777777" w:rsidR="0021204D" w:rsidRPr="0021204D" w:rsidRDefault="0021204D" w:rsidP="00747F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4.189.815.561,26 KM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(≈ 82,01%),</w:t>
      </w:r>
    </w:p>
    <w:p w14:paraId="036E372D" w14:textId="77777777" w:rsidR="0021204D" w:rsidRPr="00C2051F" w:rsidRDefault="0021204D" w:rsidP="00747F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2051F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C205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051F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C2051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C205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73.126 (26,76%)</w:t>
      </w:r>
      <w:r w:rsidRPr="00C2051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957"/>
        <w:gridCol w:w="2595"/>
        <w:gridCol w:w="1716"/>
        <w:gridCol w:w="1899"/>
        <w:gridCol w:w="2103"/>
      </w:tblGrid>
      <w:tr w:rsidR="00C2051F" w:rsidRPr="00C2051F" w14:paraId="799D36C0" w14:textId="77777777" w:rsidTr="00E0702C">
        <w:trPr>
          <w:trHeight w:val="645"/>
        </w:trPr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D8218A8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2F8D640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Poglavlje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F401A55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Poglavlje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V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93F1ADB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Aneks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54F5ED4B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Ukupno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KM</w:t>
            </w:r>
          </w:p>
        </w:tc>
      </w:tr>
      <w:tr w:rsidR="00C2051F" w:rsidRPr="00C2051F" w14:paraId="17843F84" w14:textId="77777777" w:rsidTr="00E0702C">
        <w:trPr>
          <w:trHeight w:val="645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4A6228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KM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3A45C7F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4.189.815.561,26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37D1DF2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355.878.648,84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F2B465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563.048.155,53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6FF343F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5.108.742.365,63</w:t>
            </w:r>
          </w:p>
        </w:tc>
      </w:tr>
      <w:tr w:rsidR="00C2051F" w:rsidRPr="00C2051F" w14:paraId="6124D706" w14:textId="77777777" w:rsidTr="00E0702C">
        <w:trPr>
          <w:trHeight w:val="540"/>
        </w:trPr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56147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1AEB7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82.01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89F15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6.97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8BEB74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11.02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D4A0AC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14:paraId="4E19C407" w14:textId="3CF98773" w:rsidR="00C2051F" w:rsidRPr="0021204D" w:rsidRDefault="00C2051F" w:rsidP="00C2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4BCE1C7F" wp14:editId="269AD10C">
            <wp:extent cx="5881370" cy="2544417"/>
            <wp:effectExtent l="0" t="0" r="5080" b="8890"/>
            <wp:docPr id="5409729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6CCEBB-BF7A-96BF-5C25-330D8B72B2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3520"/>
        <w:gridCol w:w="1920"/>
        <w:gridCol w:w="1760"/>
        <w:gridCol w:w="1186"/>
      </w:tblGrid>
      <w:tr w:rsidR="00C2051F" w:rsidRPr="00DD2344" w14:paraId="08E5E1EC" w14:textId="77777777" w:rsidTr="00E0702C">
        <w:trPr>
          <w:trHeight w:val="330"/>
        </w:trPr>
        <w:tc>
          <w:tcPr>
            <w:tcW w:w="93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B34852C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Ukupni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zaključenih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dodijeljenih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ugovora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u 2024. </w:t>
            </w: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godini</w:t>
            </w:r>
            <w:proofErr w:type="spellEnd"/>
          </w:p>
        </w:tc>
      </w:tr>
      <w:tr w:rsidR="00C2051F" w:rsidRPr="00DD2344" w14:paraId="1AD0FEF4" w14:textId="77777777" w:rsidTr="00E0702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618D4A7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A2F42B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Poglavlje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37DE5DE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Poglavlje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V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E86418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Aneks</w:t>
            </w:r>
            <w:proofErr w:type="spellEnd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54BC85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Ukupno</w:t>
            </w:r>
            <w:proofErr w:type="spellEnd"/>
          </w:p>
        </w:tc>
      </w:tr>
      <w:tr w:rsidR="00C2051F" w14:paraId="73761470" w14:textId="77777777" w:rsidTr="00E0702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D198CD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DFD939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73.126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9D3701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173.583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53C5EE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26.585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DDD0784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273.294</w:t>
            </w:r>
          </w:p>
        </w:tc>
      </w:tr>
      <w:tr w:rsidR="00C2051F" w14:paraId="45823D64" w14:textId="77777777" w:rsidTr="00E0702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B0374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028DF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26.76%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C18A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63.51%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98C64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9.73%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BE08D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</w:tbl>
    <w:p w14:paraId="61232731" w14:textId="7BB2222F" w:rsidR="00C2051F" w:rsidRDefault="00C2051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noProof/>
        </w:rPr>
        <w:drawing>
          <wp:inline distT="0" distB="0" distL="0" distR="0" wp14:anchorId="7BD651F1" wp14:editId="77C905B3">
            <wp:extent cx="5943600" cy="2617062"/>
            <wp:effectExtent l="0" t="0" r="0" b="12065"/>
            <wp:docPr id="8357744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6653C87-CD16-13CD-A5A5-537387CD6E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6475A3E" w14:textId="1CA3652F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Otvoreni postupak i dalje nosi glavninu vrijednosti (≈ 85,92%), uz:</w:t>
      </w:r>
    </w:p>
    <w:p w14:paraId="6A5DCC65" w14:textId="77777777" w:rsidR="0021204D" w:rsidRPr="0021204D" w:rsidRDefault="0021204D" w:rsidP="00747F8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blago povećanje prosjeka ponuda u odnosu na 2023,</w:t>
      </w:r>
    </w:p>
    <w:p w14:paraId="2B7730A9" w14:textId="77777777" w:rsidR="0021204D" w:rsidRDefault="0021204D" w:rsidP="00747F8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ali i dalje veliki broj postupaka sa 1–2 ponude.</w:t>
      </w:r>
    </w:p>
    <w:p w14:paraId="6CCFD9BF" w14:textId="77777777" w:rsidR="00C2051F" w:rsidRPr="00E274AC" w:rsidRDefault="00C2051F" w:rsidP="00C2051F">
      <w:pPr>
        <w:pStyle w:val="ListParagraph"/>
        <w:jc w:val="both"/>
        <w:rPr>
          <w:lang w:val="pt-BR"/>
        </w:rPr>
      </w:pPr>
    </w:p>
    <w:p w14:paraId="0F0FC782" w14:textId="6B851DA9" w:rsidR="00C2051F" w:rsidRPr="00C64C4B" w:rsidRDefault="00C2051F" w:rsidP="00C2051F">
      <w:pPr>
        <w:pStyle w:val="ListParagraph"/>
        <w:ind w:left="0"/>
        <w:jc w:val="both"/>
        <w:rPr>
          <w:rFonts w:ascii="Times New Roman" w:hAnsi="Times New Roman" w:cs="Times New Roman"/>
          <w:color w:val="000000"/>
          <w:lang w:val="pt-BR"/>
        </w:rPr>
      </w:pPr>
      <w:r w:rsidRPr="00C64C4B">
        <w:rPr>
          <w:rFonts w:ascii="Times New Roman" w:hAnsi="Times New Roman" w:cs="Times New Roman"/>
          <w:lang w:val="pt-BR"/>
        </w:rPr>
        <w:lastRenderedPageBreak/>
        <w:t xml:space="preserve">Vrijednost dodijeljenih ugovora u otvorenom postupku u 2024. godini je iznosio ukupno </w:t>
      </w:r>
      <w:r w:rsidRPr="00C64C4B">
        <w:rPr>
          <w:rFonts w:ascii="Times New Roman" w:hAnsi="Times New Roman" w:cs="Times New Roman"/>
          <w:b/>
          <w:color w:val="000000"/>
          <w:lang w:val="pt-BR"/>
        </w:rPr>
        <w:t xml:space="preserve">3.599.766.220,72 </w:t>
      </w:r>
      <w:r w:rsidRPr="00C64C4B">
        <w:rPr>
          <w:rFonts w:ascii="Times New Roman" w:hAnsi="Times New Roman" w:cs="Times New Roman"/>
          <w:color w:val="000000"/>
          <w:lang w:val="pt-BR"/>
        </w:rPr>
        <w:t xml:space="preserve">KM ili </w:t>
      </w:r>
      <w:r w:rsidRPr="00C64C4B">
        <w:rPr>
          <w:rFonts w:ascii="Times New Roman" w:hAnsi="Times New Roman" w:cs="Times New Roman"/>
          <w:bCs/>
          <w:color w:val="000000"/>
          <w:lang w:val="pt-BR"/>
        </w:rPr>
        <w:t>85.92</w:t>
      </w:r>
      <w:r w:rsidRPr="00C64C4B">
        <w:rPr>
          <w:rFonts w:ascii="Times New Roman" w:hAnsi="Times New Roman" w:cs="Times New Roman"/>
          <w:b/>
          <w:bCs/>
          <w:color w:val="000000"/>
          <w:lang w:val="pt-BR"/>
        </w:rPr>
        <w:t xml:space="preserve"> </w:t>
      </w:r>
      <w:r w:rsidRPr="00C64C4B">
        <w:rPr>
          <w:rFonts w:ascii="Times New Roman" w:hAnsi="Times New Roman" w:cs="Times New Roman"/>
          <w:color w:val="000000"/>
          <w:lang w:val="pt-BR"/>
        </w:rPr>
        <w:t xml:space="preserve">% od svih svih dodijeljenih ugovora u postupcima „Poglavlja I“. </w:t>
      </w:r>
      <w:r w:rsidRPr="00C64C4B">
        <w:rPr>
          <w:rFonts w:ascii="Times New Roman" w:hAnsi="Times New Roman" w:cs="Times New Roman"/>
          <w:lang w:val="pt-BR"/>
        </w:rPr>
        <w:t>Odnosno 70.46 % % od svih dodijeljenih ugovora u 2024. godini.</w:t>
      </w:r>
    </w:p>
    <w:p w14:paraId="16928170" w14:textId="66A00E0C" w:rsidR="0021204D" w:rsidRPr="00C64C4B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PBO opada vrijednosno na </w:t>
      </w:r>
      <w:r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261.114.116,12 KM</w:t>
      </w:r>
      <w:r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(≈ 6,23% vrijednosti Poglavlja I), ali:</w:t>
      </w:r>
    </w:p>
    <w:p w14:paraId="32567F49" w14:textId="71D885E2" w:rsidR="00C2051F" w:rsidRPr="00C64C4B" w:rsidRDefault="0021204D" w:rsidP="00C2051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i dalje predstavlja skup </w:t>
      </w:r>
      <w:r w:rsidRPr="00C64C4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visokovrijednih ugovora sa minimalnom konkurencijom</w:t>
      </w:r>
      <w:r w:rsidRPr="00C64C4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E3B672D" w14:textId="7660D66D" w:rsidR="00C2051F" w:rsidRPr="00E274AC" w:rsidRDefault="00C2051F" w:rsidP="00C2051F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274AC">
        <w:rPr>
          <w:rFonts w:ascii="Times New Roman" w:hAnsi="Times New Roman" w:cs="Times New Roman"/>
          <w:lang w:val="pt-BR"/>
        </w:rPr>
        <w:t>Vrijednost dodijeljenih ugovora u pregovaračkom postupku bez objave obav</w:t>
      </w:r>
      <w:r w:rsidR="00481712">
        <w:rPr>
          <w:rFonts w:ascii="Times New Roman" w:hAnsi="Times New Roman" w:cs="Times New Roman"/>
          <w:lang w:val="pt-BR"/>
        </w:rPr>
        <w:t>ijesti</w:t>
      </w:r>
      <w:r w:rsidRPr="00E274AC">
        <w:rPr>
          <w:rFonts w:ascii="Times New Roman" w:hAnsi="Times New Roman" w:cs="Times New Roman"/>
          <w:lang w:val="pt-BR"/>
        </w:rPr>
        <w:t xml:space="preserve"> u 2024. godini je iznosio ukupno </w:t>
      </w:r>
      <w:r w:rsidRPr="00E274AC">
        <w:rPr>
          <w:rFonts w:ascii="Times New Roman" w:hAnsi="Times New Roman" w:cs="Times New Roman"/>
          <w:b/>
          <w:color w:val="000000"/>
          <w:lang w:val="pt-BR"/>
        </w:rPr>
        <w:t xml:space="preserve">261.114.116,12 </w:t>
      </w:r>
      <w:r w:rsidRPr="00E274AC">
        <w:rPr>
          <w:rFonts w:ascii="Times New Roman" w:hAnsi="Times New Roman" w:cs="Times New Roman"/>
          <w:b/>
          <w:bCs/>
          <w:color w:val="000000"/>
          <w:lang w:val="pt-BR"/>
        </w:rPr>
        <w:t>KM</w:t>
      </w:r>
      <w:r w:rsidRPr="00E274AC">
        <w:rPr>
          <w:rFonts w:ascii="Times New Roman" w:hAnsi="Times New Roman" w:cs="Times New Roman"/>
          <w:color w:val="000000"/>
          <w:lang w:val="pt-BR"/>
        </w:rPr>
        <w:t xml:space="preserve"> ili </w:t>
      </w:r>
      <w:r w:rsidRPr="00E274AC">
        <w:rPr>
          <w:rFonts w:ascii="Times New Roman" w:hAnsi="Times New Roman" w:cs="Times New Roman"/>
          <w:b/>
          <w:bCs/>
          <w:color w:val="000000"/>
          <w:lang w:val="pt-BR"/>
        </w:rPr>
        <w:t xml:space="preserve">6.23 </w:t>
      </w:r>
      <w:r w:rsidRPr="00E274AC">
        <w:rPr>
          <w:rFonts w:ascii="Times New Roman" w:hAnsi="Times New Roman" w:cs="Times New Roman"/>
          <w:color w:val="000000"/>
          <w:lang w:val="pt-BR"/>
        </w:rPr>
        <w:t>% od svih dodijeljenih ugovora u postupcima „Poglavlja I“</w:t>
      </w:r>
      <w:r w:rsidRPr="00E274AC">
        <w:rPr>
          <w:rFonts w:ascii="Times New Roman" w:hAnsi="Times New Roman" w:cs="Times New Roman"/>
          <w:color w:val="000000" w:themeColor="text1"/>
          <w:lang w:val="pt-BR"/>
        </w:rPr>
        <w:t>,</w:t>
      </w:r>
      <w:r w:rsidRPr="00E274AC">
        <w:rPr>
          <w:rFonts w:ascii="Times New Roman" w:hAnsi="Times New Roman" w:cs="Times New Roman"/>
          <w:color w:val="FF0000"/>
          <w:lang w:val="pt-BR"/>
        </w:rPr>
        <w:t xml:space="preserve"> </w:t>
      </w:r>
      <w:r w:rsidRPr="00E274AC">
        <w:rPr>
          <w:rFonts w:ascii="Times New Roman" w:hAnsi="Times New Roman" w:cs="Times New Roman"/>
          <w:lang w:val="pt-BR"/>
        </w:rPr>
        <w:t>odnosno 5.11 % od svih dodijeljenih ugovora u 2024. godini.</w:t>
      </w:r>
    </w:p>
    <w:p w14:paraId="78BFD78B" w14:textId="28480BFB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b)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Poglavlje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 (2024)</w:t>
      </w:r>
    </w:p>
    <w:p w14:paraId="72BCF28B" w14:textId="77777777" w:rsidR="0021204D" w:rsidRPr="0021204D" w:rsidRDefault="0021204D" w:rsidP="00747F8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355.878.648,84 KM (6,97%)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5B1B2DC" w14:textId="77777777" w:rsidR="0021204D" w:rsidRPr="0021204D" w:rsidRDefault="0021204D" w:rsidP="00747F8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173.583 (63,51%)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277F36" w14:textId="0C7A4E1C" w:rsidR="0021204D" w:rsidRPr="0021204D" w:rsidRDefault="00541E8F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Izravni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sporazum</w:t>
      </w:r>
      <w:proofErr w:type="spellEnd"/>
      <w:r w:rsidR="0021204D"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F47F391" w14:textId="77777777" w:rsidR="0021204D" w:rsidRPr="0021204D" w:rsidRDefault="0021204D" w:rsidP="00747F8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149.353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657B6F3" w14:textId="77777777" w:rsidR="0021204D" w:rsidRPr="0021204D" w:rsidRDefault="0021204D" w:rsidP="00747F8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47,53%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Poglavlja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V.</w:t>
      </w:r>
    </w:p>
    <w:p w14:paraId="7E1267BC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Konkurentski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zahtjev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32280DF" w14:textId="77777777" w:rsidR="0021204D" w:rsidRPr="0021204D" w:rsidRDefault="0021204D" w:rsidP="00747F8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24.230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DB6C24D" w14:textId="77777777" w:rsidR="0021204D" w:rsidRPr="0021204D" w:rsidRDefault="0021204D" w:rsidP="00747F8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≈ 52,47%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Poglavlja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V.</w:t>
      </w:r>
    </w:p>
    <w:p w14:paraId="6748F543" w14:textId="6A6331CA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41E8F">
        <w:rPr>
          <w:rFonts w:ascii="Times New Roman" w:eastAsia="Times New Roman" w:hAnsi="Times New Roman" w:cs="Times New Roman"/>
          <w:kern w:val="0"/>
          <w14:ligatures w14:val="none"/>
        </w:rPr>
        <w:t>izravnih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sporazuma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dalje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raste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konkurentski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zahtjev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uspijeva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značajno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podići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prosjek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F5FDC1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c)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Aneks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II (2024)</w:t>
      </w:r>
    </w:p>
    <w:p w14:paraId="1C14BCF7" w14:textId="77777777" w:rsidR="0021204D" w:rsidRPr="0021204D" w:rsidRDefault="0021204D" w:rsidP="00747F8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563.048.155,53 KM (11,02%)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2A22047" w14:textId="77777777" w:rsidR="0021204D" w:rsidRPr="0021204D" w:rsidRDefault="0021204D" w:rsidP="00747F8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26.585 (9,73%)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BD27C0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 odnosu na 2023. vrijednost Aneksa II opada (sa ≈ 716 mil.), ali:</w:t>
      </w:r>
    </w:p>
    <w:p w14:paraId="73AAB010" w14:textId="111AE72F" w:rsidR="0021204D" w:rsidRPr="0021204D" w:rsidRDefault="0021204D" w:rsidP="00747F8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struktura tržišta se bitno ne mijenja – i dalje mali broj specijaliz</w:t>
      </w:r>
      <w:r w:rsidR="00481712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iranih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dobavljača i nizak prosjek ponuda.</w:t>
      </w:r>
    </w:p>
    <w:p w14:paraId="7631424F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0E1CC7">
          <v:rect id="_x0000_i1040" style="width:0;height:1.5pt" o:hralign="center" o:hrstd="t" o:hr="t" fillcolor="#a0a0a0" stroked="f"/>
        </w:pict>
      </w:r>
    </w:p>
    <w:p w14:paraId="5AC9B6AD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4.2.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Analitičko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objašnjenje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konkurencije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0771ECEF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Blagi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rast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(1,75) u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odnosu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2023.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pokazuje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da:</w:t>
      </w:r>
    </w:p>
    <w:p w14:paraId="389B3762" w14:textId="77777777" w:rsidR="0021204D" w:rsidRPr="0021204D" w:rsidRDefault="0021204D" w:rsidP="00747F8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tržište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djelimično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prilagođava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5A88B09" w14:textId="77777777" w:rsidR="0021204D" w:rsidRPr="0021204D" w:rsidRDefault="0021204D" w:rsidP="00747F8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pojedini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sektori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npr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. robe,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manje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bilježe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nešto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više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EAA958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Međutim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6F5CF9" w14:textId="77777777" w:rsidR="0021204D" w:rsidRPr="0021204D" w:rsidRDefault="0021204D" w:rsidP="00747F8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i dalje je prosječan broj ponuda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ispod 2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214EABA7" w14:textId="77777777" w:rsidR="0021204D" w:rsidRPr="0021204D" w:rsidRDefault="0021204D" w:rsidP="00747F8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 mnogim ključnim sektorima (radovi, zdravstvo, energija) dominantni su single-bid ili “tanko konkurentni” postupci.</w:t>
      </w:r>
    </w:p>
    <w:p w14:paraId="621BEE6C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A72CE51">
          <v:rect id="_x0000_i1041" style="width:0;height:1.5pt" o:hralign="center" o:hrstd="t" o:hr="t" fillcolor="#a0a0a0" stroked="f"/>
        </w:pict>
      </w:r>
    </w:p>
    <w:p w14:paraId="64968D62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4.3. Postupci sa jednom ponudom (2024)</w:t>
      </w:r>
    </w:p>
    <w:p w14:paraId="7EBAD4DF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 2024. godini udio single-bid postupaka se procjenjuje na:</w:t>
      </w:r>
    </w:p>
    <w:p w14:paraId="60855AE8" w14:textId="77777777" w:rsidR="0021204D" w:rsidRPr="0021204D" w:rsidRDefault="0021204D" w:rsidP="00747F8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otprilike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35–40%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dakle nešto niže nego 2023, ali i dalje previsoko.</w:t>
      </w:r>
    </w:p>
    <w:p w14:paraId="76FD65B2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Najveći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udio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ostaje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u:</w:t>
      </w:r>
    </w:p>
    <w:p w14:paraId="723361AF" w14:textId="77777777" w:rsidR="0021204D" w:rsidRPr="0021204D" w:rsidRDefault="0021204D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PBO,</w:t>
      </w:r>
    </w:p>
    <w:p w14:paraId="383778E0" w14:textId="327850DA" w:rsidR="0021204D" w:rsidRPr="0021204D" w:rsidRDefault="00541E8F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izravnim</w:t>
      </w:r>
      <w:proofErr w:type="spellEnd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sporazumima</w:t>
      </w:r>
      <w:proofErr w:type="spellEnd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324FE6B" w14:textId="77777777" w:rsidR="0021204D" w:rsidRPr="0021204D" w:rsidRDefault="0021204D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Aneksu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II,</w:t>
      </w:r>
    </w:p>
    <w:p w14:paraId="7D412EED" w14:textId="77777777" w:rsidR="0021204D" w:rsidRPr="0021204D" w:rsidRDefault="0021204D" w:rsidP="00747F8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velikim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radovima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bez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lotova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B2350E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61D2F7">
          <v:rect id="_x0000_i1042" style="width:0;height:1.5pt" o:hralign="center" o:hrstd="t" o:hr="t" fillcolor="#a0a0a0" stroked="f"/>
        </w:pict>
      </w:r>
    </w:p>
    <w:p w14:paraId="77AA36C5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4.4. Teritorijalne i sektorske razlike (2024)</w:t>
      </w:r>
    </w:p>
    <w:p w14:paraId="580417DB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a) PBO po entitetima (2024)</w:t>
      </w:r>
    </w:p>
    <w:p w14:paraId="301402CD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Približni udjeli u vrijednosti PBO:</w:t>
      </w:r>
    </w:p>
    <w:p w14:paraId="0ABC4EF0" w14:textId="774BF362" w:rsidR="0021204D" w:rsidRPr="0021204D" w:rsidRDefault="00F72E19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razina</w:t>
      </w:r>
      <w:proofErr w:type="spellEnd"/>
      <w:r w:rsidR="0021204D"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BiH ≈ 4,5%,</w:t>
      </w:r>
    </w:p>
    <w:p w14:paraId="752D0634" w14:textId="77777777" w:rsidR="0021204D" w:rsidRPr="0021204D" w:rsidRDefault="0021204D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FBiH ≈ 69,5%,</w:t>
      </w:r>
    </w:p>
    <w:p w14:paraId="5B5401DC" w14:textId="77777777" w:rsidR="0021204D" w:rsidRPr="0021204D" w:rsidRDefault="0021204D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RS ≈ 25,8%,</w:t>
      </w:r>
    </w:p>
    <w:p w14:paraId="40D83042" w14:textId="77777777" w:rsidR="0021204D" w:rsidRDefault="0021204D" w:rsidP="00747F8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BD ≈ 0,2%.</w:t>
      </w:r>
    </w:p>
    <w:p w14:paraId="273DA74C" w14:textId="214B9203" w:rsidR="00C2051F" w:rsidRPr="001938D9" w:rsidRDefault="00C2051F" w:rsidP="001938D9">
      <w:p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938D9">
        <w:rPr>
          <w:rFonts w:ascii="Times New Roman" w:hAnsi="Times New Roman" w:cs="Times New Roman"/>
          <w:color w:val="000000" w:themeColor="text1"/>
        </w:rPr>
        <w:t>Tabelarni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prikaz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dodijeljenih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ugovora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pregovarački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postupak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bez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objave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obav</w:t>
      </w:r>
      <w:r w:rsidR="00496621">
        <w:rPr>
          <w:rFonts w:ascii="Times New Roman" w:hAnsi="Times New Roman" w:cs="Times New Roman"/>
          <w:color w:val="000000" w:themeColor="text1"/>
        </w:rPr>
        <w:t>ijesti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nabavi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u 2024.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godini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prema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predmetu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nabave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527634">
        <w:rPr>
          <w:rFonts w:ascii="Times New Roman" w:hAnsi="Times New Roman" w:cs="Times New Roman"/>
          <w:color w:val="000000" w:themeColor="text1"/>
        </w:rPr>
        <w:t>razini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vlasti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kojem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pripada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938D9">
        <w:rPr>
          <w:rFonts w:ascii="Times New Roman" w:hAnsi="Times New Roman" w:cs="Times New Roman"/>
          <w:color w:val="000000" w:themeColor="text1"/>
        </w:rPr>
        <w:t>ugovorn</w:t>
      </w:r>
      <w:r w:rsidR="00496621">
        <w:rPr>
          <w:rFonts w:ascii="Times New Roman" w:hAnsi="Times New Roman" w:cs="Times New Roman"/>
          <w:color w:val="000000" w:themeColor="text1"/>
        </w:rPr>
        <w:t>o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96621">
        <w:rPr>
          <w:rFonts w:ascii="Times New Roman" w:hAnsi="Times New Roman" w:cs="Times New Roman"/>
          <w:color w:val="000000" w:themeColor="text1"/>
        </w:rPr>
        <w:t>tijelo</w:t>
      </w:r>
      <w:proofErr w:type="spellEnd"/>
      <w:r w:rsidRPr="001938D9">
        <w:rPr>
          <w:rFonts w:ascii="Times New Roman" w:hAnsi="Times New Roman" w:cs="Times New Roman"/>
          <w:color w:val="000000" w:themeColor="text1"/>
        </w:rPr>
        <w:t>:</w:t>
      </w:r>
    </w:p>
    <w:p w14:paraId="0347E47C" w14:textId="77777777" w:rsidR="00C2051F" w:rsidRPr="00C2051F" w:rsidRDefault="00C2051F" w:rsidP="001938D9">
      <w:pPr>
        <w:pStyle w:val="ListParagraph"/>
        <w:rPr>
          <w:i/>
          <w:iCs/>
        </w:rPr>
      </w:pPr>
    </w:p>
    <w:p w14:paraId="781509F0" w14:textId="77777777" w:rsidR="00C2051F" w:rsidRPr="001938D9" w:rsidRDefault="00C2051F" w:rsidP="001938D9">
      <w:pPr>
        <w:ind w:left="360"/>
        <w:rPr>
          <w:i/>
          <w:iCs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1121"/>
        <w:gridCol w:w="1562"/>
        <w:gridCol w:w="1842"/>
        <w:gridCol w:w="1702"/>
        <w:gridCol w:w="1276"/>
        <w:gridCol w:w="1837"/>
      </w:tblGrid>
      <w:tr w:rsidR="00C2051F" w:rsidRPr="0082552C" w14:paraId="463A6247" w14:textId="77777777" w:rsidTr="00E0702C">
        <w:trPr>
          <w:trHeight w:val="430"/>
        </w:trPr>
        <w:tc>
          <w:tcPr>
            <w:tcW w:w="9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A2B326D" w14:textId="2FDA45E8" w:rsidR="00C2051F" w:rsidRPr="001938D9" w:rsidRDefault="00C2051F" w:rsidP="00E0702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38D9">
              <w:rPr>
                <w:color w:val="000000"/>
                <w:sz w:val="18"/>
                <w:szCs w:val="18"/>
              </w:rPr>
              <w:lastRenderedPageBreak/>
              <w:t>Ukupna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vrijednost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dodijeljenih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ugovora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pregovarački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postupak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bez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objave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obav</w:t>
            </w:r>
            <w:r w:rsidR="00496621">
              <w:rPr>
                <w:color w:val="000000"/>
                <w:sz w:val="18"/>
                <w:szCs w:val="18"/>
              </w:rPr>
              <w:t>ijesti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nabavi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u 2024.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godini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prema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predmetu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8D9">
              <w:rPr>
                <w:color w:val="000000"/>
                <w:sz w:val="18"/>
                <w:szCs w:val="18"/>
              </w:rPr>
              <w:t>nabave</w:t>
            </w:r>
            <w:proofErr w:type="spellEnd"/>
            <w:r w:rsidRPr="001938D9"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proofErr w:type="gramStart"/>
            <w:r w:rsidR="00527634">
              <w:rPr>
                <w:color w:val="000000"/>
                <w:sz w:val="18"/>
                <w:szCs w:val="18"/>
              </w:rPr>
              <w:t>razini</w:t>
            </w:r>
            <w:proofErr w:type="spellEnd"/>
            <w:r w:rsidR="00527634">
              <w:rPr>
                <w:color w:val="000000"/>
                <w:sz w:val="18"/>
                <w:szCs w:val="18"/>
              </w:rPr>
              <w:t xml:space="preserve"> </w:t>
            </w:r>
            <w:r w:rsidRPr="001938D9">
              <w:rPr>
                <w:color w:val="000000"/>
                <w:sz w:val="18"/>
                <w:szCs w:val="18"/>
              </w:rPr>
              <w:t xml:space="preserve"> vlasti</w:t>
            </w:r>
            <w:proofErr w:type="gramEnd"/>
            <w:r w:rsidRPr="001938D9">
              <w:rPr>
                <w:color w:val="000000"/>
                <w:sz w:val="18"/>
                <w:szCs w:val="18"/>
              </w:rPr>
              <w:t>:</w:t>
            </w:r>
          </w:p>
        </w:tc>
      </w:tr>
      <w:tr w:rsidR="00C2051F" w:rsidRPr="0082552C" w14:paraId="5F8CC885" w14:textId="77777777" w:rsidTr="00E0702C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2019" w14:textId="77777777" w:rsidR="00C2051F" w:rsidRPr="001938D9" w:rsidRDefault="00C2051F" w:rsidP="00E0702C">
            <w:pPr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44E9" w14:textId="77777777" w:rsidR="00C2051F" w:rsidRPr="001938D9" w:rsidRDefault="00C2051F" w:rsidP="00E0702C">
            <w:pPr>
              <w:jc w:val="center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BIH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72B7" w14:textId="77777777" w:rsidR="00C2051F" w:rsidRPr="001938D9" w:rsidRDefault="00C2051F" w:rsidP="00E0702C">
            <w:pPr>
              <w:jc w:val="center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FBiH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6A8AD" w14:textId="77777777" w:rsidR="00C2051F" w:rsidRPr="001938D9" w:rsidRDefault="00C2051F" w:rsidP="00E0702C">
            <w:pPr>
              <w:jc w:val="center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D8A7" w14:textId="77777777" w:rsidR="00C2051F" w:rsidRPr="001938D9" w:rsidRDefault="00C2051F" w:rsidP="00E0702C">
            <w:pPr>
              <w:jc w:val="center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BD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F15668" w14:textId="77777777" w:rsidR="00C2051F" w:rsidRPr="001938D9" w:rsidRDefault="00C2051F" w:rsidP="00E0702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938D9">
              <w:rPr>
                <w:color w:val="000000"/>
                <w:sz w:val="18"/>
                <w:szCs w:val="18"/>
              </w:rPr>
              <w:t>Ukupno</w:t>
            </w:r>
            <w:proofErr w:type="spellEnd"/>
          </w:p>
        </w:tc>
      </w:tr>
      <w:tr w:rsidR="00C2051F" w:rsidRPr="0082552C" w14:paraId="0BA504DC" w14:textId="77777777" w:rsidTr="00E0702C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7002" w14:textId="77777777" w:rsidR="00C2051F" w:rsidRPr="001938D9" w:rsidRDefault="00C2051F" w:rsidP="00E0702C">
            <w:pPr>
              <w:jc w:val="both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Robe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6C077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1.245.551,33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5080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119.065.695,35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0BF9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24.273.775,59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5415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0D7096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144.585.022,27</w:t>
            </w:r>
          </w:p>
        </w:tc>
      </w:tr>
      <w:tr w:rsidR="00C2051F" w:rsidRPr="0082552C" w14:paraId="0FBD7DD8" w14:textId="77777777" w:rsidTr="00E0702C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21A5" w14:textId="77777777" w:rsidR="00C2051F" w:rsidRPr="001938D9" w:rsidRDefault="00C2051F" w:rsidP="00E0702C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938D9">
              <w:rPr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99D9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9.984.283,48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EAAF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50.914.521,57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EEAC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25.382.643,61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380A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324.752,50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FC5A1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86.606.201,16</w:t>
            </w:r>
          </w:p>
        </w:tc>
      </w:tr>
      <w:tr w:rsidR="00C2051F" w:rsidRPr="0082552C" w14:paraId="0016C883" w14:textId="77777777" w:rsidTr="00E0702C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7E77" w14:textId="77777777" w:rsidR="00C2051F" w:rsidRPr="001938D9" w:rsidRDefault="00C2051F" w:rsidP="00E0702C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1938D9">
              <w:rPr>
                <w:color w:val="000000"/>
                <w:sz w:val="18"/>
                <w:szCs w:val="18"/>
              </w:rPr>
              <w:t>Radovi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8182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584.745,20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2FD2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11.558.192,19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4BBB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17.667.524,42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0081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112.430,88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317DA" w14:textId="77777777" w:rsidR="00C2051F" w:rsidRPr="001938D9" w:rsidRDefault="00C2051F" w:rsidP="00E0702C">
            <w:pPr>
              <w:jc w:val="right"/>
              <w:rPr>
                <w:color w:val="000000"/>
                <w:sz w:val="18"/>
                <w:szCs w:val="18"/>
              </w:rPr>
            </w:pPr>
            <w:r w:rsidRPr="001938D9">
              <w:rPr>
                <w:color w:val="000000"/>
                <w:sz w:val="18"/>
                <w:szCs w:val="18"/>
              </w:rPr>
              <w:t>29.922.892,69</w:t>
            </w:r>
          </w:p>
        </w:tc>
      </w:tr>
      <w:tr w:rsidR="00C2051F" w:rsidRPr="0082552C" w14:paraId="448455AA" w14:textId="77777777" w:rsidTr="00E0702C">
        <w:trPr>
          <w:trHeight w:val="311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16F38E" w14:textId="77777777" w:rsidR="00C2051F" w:rsidRPr="001938D9" w:rsidRDefault="00C2051F" w:rsidP="00E0702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38D9">
              <w:rPr>
                <w:b/>
                <w:bCs/>
                <w:color w:val="000000"/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8A4E45" w14:textId="77777777" w:rsidR="00C2051F" w:rsidRPr="001938D9" w:rsidRDefault="00C2051F" w:rsidP="00E070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11.814.580,01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E98512" w14:textId="77777777" w:rsidR="00C2051F" w:rsidRPr="001938D9" w:rsidRDefault="00C2051F" w:rsidP="00E070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181.538.409,11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2D728" w14:textId="77777777" w:rsidR="00C2051F" w:rsidRPr="001938D9" w:rsidRDefault="00C2051F" w:rsidP="00E070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67.323.943,62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250EA5" w14:textId="77777777" w:rsidR="00C2051F" w:rsidRPr="001938D9" w:rsidRDefault="00C2051F" w:rsidP="00E070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437.183,38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AFA61C" w14:textId="77777777" w:rsidR="00C2051F" w:rsidRPr="001938D9" w:rsidRDefault="00C2051F" w:rsidP="00E070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938D9">
              <w:rPr>
                <w:b/>
                <w:bCs/>
                <w:color w:val="000000"/>
                <w:sz w:val="18"/>
                <w:szCs w:val="18"/>
              </w:rPr>
              <w:t>261.114.116,12</w:t>
            </w:r>
          </w:p>
        </w:tc>
      </w:tr>
    </w:tbl>
    <w:p w14:paraId="23D73E44" w14:textId="77777777" w:rsidR="00C2051F" w:rsidRPr="001938D9" w:rsidRDefault="00C2051F" w:rsidP="001938D9">
      <w:pPr>
        <w:rPr>
          <w:i/>
          <w:iCs/>
        </w:rPr>
      </w:pPr>
    </w:p>
    <w:p w14:paraId="137C7293" w14:textId="77777777" w:rsidR="00C2051F" w:rsidRPr="00C2051F" w:rsidRDefault="00C2051F" w:rsidP="00C2051F">
      <w:pPr>
        <w:pStyle w:val="ListParagraph"/>
        <w:rPr>
          <w:i/>
          <w:iCs/>
        </w:rPr>
      </w:pPr>
      <w:r>
        <w:rPr>
          <w:noProof/>
        </w:rPr>
        <w:drawing>
          <wp:inline distT="0" distB="0" distL="0" distR="0" wp14:anchorId="27348F94" wp14:editId="7F72B275">
            <wp:extent cx="5464341" cy="3101340"/>
            <wp:effectExtent l="0" t="0" r="3175" b="3810"/>
            <wp:docPr id="52033548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6A18E4B-8A21-760F-7E5E-C557DBB543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84429E6" w14:textId="2F87160C" w:rsidR="00C2051F" w:rsidRPr="001938D9" w:rsidRDefault="00C2051F" w:rsidP="00C2051F">
      <w:pPr>
        <w:ind w:left="360"/>
        <w:jc w:val="both"/>
        <w:rPr>
          <w:rFonts w:ascii="Times New Roman" w:hAnsi="Times New Roman" w:cs="Times New Roman"/>
        </w:rPr>
      </w:pPr>
      <w:proofErr w:type="spellStart"/>
      <w:r w:rsidRPr="001938D9">
        <w:rPr>
          <w:rFonts w:ascii="Times New Roman" w:hAnsi="Times New Roman" w:cs="Times New Roman"/>
        </w:rPr>
        <w:t>Tabelarni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prikaz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ukupnog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broja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dodijeljenih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ugovora</w:t>
      </w:r>
      <w:proofErr w:type="spellEnd"/>
      <w:r w:rsidRPr="001938D9">
        <w:rPr>
          <w:rFonts w:ascii="Times New Roman" w:hAnsi="Times New Roman" w:cs="Times New Roman"/>
        </w:rPr>
        <w:t xml:space="preserve"> za </w:t>
      </w:r>
      <w:proofErr w:type="spellStart"/>
      <w:r w:rsidRPr="001938D9">
        <w:rPr>
          <w:rFonts w:ascii="Times New Roman" w:hAnsi="Times New Roman" w:cs="Times New Roman"/>
        </w:rPr>
        <w:t>pregovarački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postupak</w:t>
      </w:r>
      <w:proofErr w:type="spellEnd"/>
      <w:r w:rsidRPr="001938D9">
        <w:rPr>
          <w:rFonts w:ascii="Times New Roman" w:hAnsi="Times New Roman" w:cs="Times New Roman"/>
        </w:rPr>
        <w:t xml:space="preserve"> bez </w:t>
      </w:r>
      <w:proofErr w:type="spellStart"/>
      <w:r w:rsidRPr="001938D9">
        <w:rPr>
          <w:rFonts w:ascii="Times New Roman" w:hAnsi="Times New Roman" w:cs="Times New Roman"/>
        </w:rPr>
        <w:t>objave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obav</w:t>
      </w:r>
      <w:r w:rsidR="00496621">
        <w:rPr>
          <w:rFonts w:ascii="Times New Roman" w:hAnsi="Times New Roman" w:cs="Times New Roman"/>
        </w:rPr>
        <w:t>ijesti</w:t>
      </w:r>
      <w:proofErr w:type="spellEnd"/>
      <w:r w:rsidRPr="001938D9">
        <w:rPr>
          <w:rFonts w:ascii="Times New Roman" w:hAnsi="Times New Roman" w:cs="Times New Roman"/>
        </w:rPr>
        <w:t xml:space="preserve"> o </w:t>
      </w:r>
      <w:proofErr w:type="spellStart"/>
      <w:r w:rsidRPr="001938D9">
        <w:rPr>
          <w:rFonts w:ascii="Times New Roman" w:hAnsi="Times New Roman" w:cs="Times New Roman"/>
        </w:rPr>
        <w:t>nabavi</w:t>
      </w:r>
      <w:proofErr w:type="spellEnd"/>
      <w:r w:rsidRPr="001938D9">
        <w:rPr>
          <w:rFonts w:ascii="Times New Roman" w:hAnsi="Times New Roman" w:cs="Times New Roman"/>
        </w:rPr>
        <w:t xml:space="preserve"> u 2024. </w:t>
      </w:r>
      <w:proofErr w:type="spellStart"/>
      <w:r w:rsidRPr="001938D9">
        <w:rPr>
          <w:rFonts w:ascii="Times New Roman" w:hAnsi="Times New Roman" w:cs="Times New Roman"/>
        </w:rPr>
        <w:t>godini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prema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predmetu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nabave</w:t>
      </w:r>
      <w:proofErr w:type="spellEnd"/>
      <w:r w:rsidRPr="001938D9">
        <w:rPr>
          <w:rFonts w:ascii="Times New Roman" w:hAnsi="Times New Roman" w:cs="Times New Roman"/>
        </w:rPr>
        <w:t xml:space="preserve"> i </w:t>
      </w:r>
      <w:proofErr w:type="spellStart"/>
      <w:r w:rsidR="00527634">
        <w:rPr>
          <w:rFonts w:ascii="Times New Roman" w:hAnsi="Times New Roman" w:cs="Times New Roman"/>
        </w:rPr>
        <w:t>razini</w:t>
      </w:r>
      <w:proofErr w:type="spellEnd"/>
      <w:r w:rsidRPr="001938D9">
        <w:rPr>
          <w:rFonts w:ascii="Times New Roman" w:hAnsi="Times New Roman" w:cs="Times New Roman"/>
        </w:rPr>
        <w:t xml:space="preserve"> vlasti </w:t>
      </w:r>
      <w:proofErr w:type="spellStart"/>
      <w:r w:rsidRPr="001938D9">
        <w:rPr>
          <w:rFonts w:ascii="Times New Roman" w:hAnsi="Times New Roman" w:cs="Times New Roman"/>
        </w:rPr>
        <w:t>kojem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pripada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Pr="001938D9">
        <w:rPr>
          <w:rFonts w:ascii="Times New Roman" w:hAnsi="Times New Roman" w:cs="Times New Roman"/>
        </w:rPr>
        <w:t>ugovorn</w:t>
      </w:r>
      <w:r w:rsidR="00496621">
        <w:rPr>
          <w:rFonts w:ascii="Times New Roman" w:hAnsi="Times New Roman" w:cs="Times New Roman"/>
        </w:rPr>
        <w:t>o</w:t>
      </w:r>
      <w:proofErr w:type="spellEnd"/>
      <w:r w:rsidRPr="001938D9">
        <w:rPr>
          <w:rFonts w:ascii="Times New Roman" w:hAnsi="Times New Roman" w:cs="Times New Roman"/>
        </w:rPr>
        <w:t xml:space="preserve"> </w:t>
      </w:r>
      <w:proofErr w:type="spellStart"/>
      <w:r w:rsidR="00496621">
        <w:rPr>
          <w:rFonts w:ascii="Times New Roman" w:hAnsi="Times New Roman" w:cs="Times New Roman"/>
        </w:rPr>
        <w:t>tijelo</w:t>
      </w:r>
      <w:proofErr w:type="spellEnd"/>
      <w:r w:rsidRPr="001938D9">
        <w:rPr>
          <w:rFonts w:ascii="Times New Roman" w:hAnsi="Times New Roman" w:cs="Times New Roman"/>
        </w:rPr>
        <w:t>:</w:t>
      </w:r>
    </w:p>
    <w:p w14:paraId="5A0834BE" w14:textId="77777777" w:rsidR="00C2051F" w:rsidRPr="00C2051F" w:rsidRDefault="00C2051F" w:rsidP="00C2051F">
      <w:pPr>
        <w:ind w:left="360"/>
        <w:jc w:val="both"/>
        <w:rPr>
          <w:i/>
          <w:iCs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1550"/>
        <w:gridCol w:w="1701"/>
        <w:gridCol w:w="1968"/>
        <w:gridCol w:w="1213"/>
        <w:gridCol w:w="1024"/>
        <w:gridCol w:w="1890"/>
      </w:tblGrid>
      <w:tr w:rsidR="00C2051F" w14:paraId="2ABDB995" w14:textId="77777777" w:rsidTr="00E0702C">
        <w:trPr>
          <w:trHeight w:val="555"/>
        </w:trPr>
        <w:tc>
          <w:tcPr>
            <w:tcW w:w="9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DC5536" w14:textId="35E3416F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Ukupan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dodijeljenih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ugovora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pregovarački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postupak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bez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objave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obav</w:t>
            </w:r>
            <w:r w:rsidR="004966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ijesti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nabavi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 2024.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godini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prema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predmetu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nabave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="005276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razini</w:t>
            </w:r>
            <w:proofErr w:type="spellEnd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vlasti:</w:t>
            </w:r>
          </w:p>
        </w:tc>
      </w:tr>
      <w:tr w:rsidR="00C2051F" w14:paraId="0EA04989" w14:textId="77777777" w:rsidTr="00E0702C">
        <w:trPr>
          <w:trHeight w:val="491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4F1D" w14:textId="77777777" w:rsidR="00C2051F" w:rsidRPr="00C2051F" w:rsidRDefault="00C2051F" w:rsidP="00E0702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D809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BIH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4BC92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FBiH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2E4B6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CF262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3B7265" w14:textId="77777777" w:rsidR="00C2051F" w:rsidRPr="00C2051F" w:rsidRDefault="00C2051F" w:rsidP="00E0702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Ukupno</w:t>
            </w:r>
            <w:proofErr w:type="spellEnd"/>
          </w:p>
        </w:tc>
      </w:tr>
      <w:tr w:rsidR="00C2051F" w14:paraId="200A2579" w14:textId="77777777" w:rsidTr="00E0702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D321" w14:textId="77777777" w:rsidR="00C2051F" w:rsidRPr="00C2051F" w:rsidRDefault="00C2051F" w:rsidP="00E0702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D61F8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3DC9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27ED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9C1D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50FC2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901</w:t>
            </w:r>
          </w:p>
        </w:tc>
      </w:tr>
      <w:tr w:rsidR="00C2051F" w14:paraId="4F567921" w14:textId="77777777" w:rsidTr="00E0702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5BF0" w14:textId="77777777" w:rsidR="00C2051F" w:rsidRPr="00C2051F" w:rsidRDefault="00C2051F" w:rsidP="00E0702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Usluge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E861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BFD4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2C1D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375E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3DB07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658</w:t>
            </w:r>
          </w:p>
        </w:tc>
      </w:tr>
      <w:tr w:rsidR="00C2051F" w14:paraId="0B2FDCE6" w14:textId="77777777" w:rsidTr="00E0702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BBCF" w14:textId="77777777" w:rsidR="00C2051F" w:rsidRPr="00C2051F" w:rsidRDefault="00C2051F" w:rsidP="00E0702C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Radovi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BF59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C0A6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A24F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69DF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B5A31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</w:t>
            </w:r>
          </w:p>
        </w:tc>
      </w:tr>
      <w:tr w:rsidR="00C2051F" w14:paraId="3E9AAAC8" w14:textId="77777777" w:rsidTr="00E0702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3A27E4" w14:textId="77777777" w:rsidR="00C2051F" w:rsidRPr="00C2051F" w:rsidRDefault="00C2051F" w:rsidP="00E0702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Ukupno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19227B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4C9B8E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F86C61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629E41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5DF55C" w14:textId="77777777" w:rsidR="00C2051F" w:rsidRPr="00C2051F" w:rsidRDefault="00C2051F" w:rsidP="00E0702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2051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1.850</w:t>
            </w:r>
          </w:p>
        </w:tc>
      </w:tr>
    </w:tbl>
    <w:p w14:paraId="4E9684C3" w14:textId="77777777" w:rsidR="00C2051F" w:rsidRPr="00C2051F" w:rsidRDefault="00C2051F" w:rsidP="001938D9">
      <w:pPr>
        <w:pStyle w:val="ListParagraph"/>
        <w:jc w:val="both"/>
        <w:rPr>
          <w:i/>
          <w:iCs/>
        </w:rPr>
      </w:pPr>
    </w:p>
    <w:p w14:paraId="7F6FF8F7" w14:textId="77777777" w:rsidR="00C2051F" w:rsidRPr="00C2051F" w:rsidRDefault="00C2051F" w:rsidP="001938D9">
      <w:pPr>
        <w:pStyle w:val="ListParagraph"/>
        <w:jc w:val="both"/>
        <w:rPr>
          <w:i/>
          <w:iCs/>
        </w:rPr>
      </w:pPr>
    </w:p>
    <w:p w14:paraId="05AF0A8E" w14:textId="77777777" w:rsidR="00C2051F" w:rsidRPr="00C2051F" w:rsidRDefault="00C2051F" w:rsidP="001938D9">
      <w:pPr>
        <w:pStyle w:val="ListParagraph"/>
        <w:ind w:right="4"/>
        <w:jc w:val="both"/>
        <w:rPr>
          <w:i/>
          <w:iCs/>
        </w:rPr>
      </w:pPr>
      <w:r>
        <w:rPr>
          <w:noProof/>
        </w:rPr>
        <w:drawing>
          <wp:inline distT="0" distB="0" distL="0" distR="0" wp14:anchorId="6B863A1D" wp14:editId="1770686B">
            <wp:extent cx="5857240" cy="2787091"/>
            <wp:effectExtent l="0" t="0" r="10160" b="13335"/>
            <wp:docPr id="7031060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6B576E-EBF2-7178-8071-83305FE97D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0145641" w14:textId="77777777" w:rsidR="00C2051F" w:rsidRPr="0021204D" w:rsidRDefault="00C2051F" w:rsidP="00C20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03DED" w14:textId="3AB47E6C" w:rsidR="0021204D" w:rsidRPr="001F2F7B" w:rsidRDefault="0021204D" w:rsidP="00AF5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Vidljiv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rast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udjela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96621" w:rsidRPr="001F2F7B">
        <w:rPr>
          <w:rFonts w:ascii="Times New Roman" w:eastAsia="Times New Roman" w:hAnsi="Times New Roman" w:cs="Times New Roman"/>
          <w:kern w:val="0"/>
          <w14:ligatures w14:val="none"/>
        </w:rPr>
        <w:t>razine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BiH i FBiH u PBO, RS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496621" w:rsidRPr="001F2F7B">
        <w:rPr>
          <w:rFonts w:ascii="Times New Roman" w:eastAsia="Times New Roman" w:hAnsi="Times New Roman" w:cs="Times New Roman"/>
          <w:kern w:val="0"/>
          <w14:ligatures w14:val="none"/>
        </w:rPr>
        <w:t>ostotno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pada.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Ipak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, PBO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ostaje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kon</w:t>
      </w:r>
      <w:r w:rsidR="00496621" w:rsidRPr="001F2F7B">
        <w:rPr>
          <w:rFonts w:ascii="Times New Roman" w:eastAsia="Times New Roman" w:hAnsi="Times New Roman" w:cs="Times New Roman"/>
          <w:kern w:val="0"/>
          <w14:ligatures w14:val="none"/>
        </w:rPr>
        <w:t>centriran</w:t>
      </w:r>
      <w:proofErr w:type="spellEnd"/>
      <w:r w:rsidR="00496621"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u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nekoliko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velikih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sektora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ugovornih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96621" w:rsidRPr="001F2F7B">
        <w:rPr>
          <w:rFonts w:ascii="Times New Roman" w:eastAsia="Times New Roman" w:hAnsi="Times New Roman" w:cs="Times New Roman"/>
          <w:kern w:val="0"/>
          <w14:ligatures w14:val="none"/>
        </w:rPr>
        <w:t>tijela</w:t>
      </w:r>
      <w:proofErr w:type="spellEnd"/>
      <w:r w:rsidRPr="001F2F7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1480CB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b)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Sektori</w:t>
      </w:r>
      <w:proofErr w:type="spellEnd"/>
    </w:p>
    <w:p w14:paraId="6F9DC176" w14:textId="0E7DC47F" w:rsidR="0021204D" w:rsidRPr="0021204D" w:rsidRDefault="0021204D" w:rsidP="00747F8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Radovi: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dalje visok</w:t>
      </w:r>
      <w:r w:rsidR="004966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4966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koncentracije i nizak broj ponuda, pogotovo u PBO.</w:t>
      </w:r>
    </w:p>
    <w:p w14:paraId="1213C448" w14:textId="77777777" w:rsidR="0021204D" w:rsidRPr="0021204D" w:rsidRDefault="0021204D" w:rsidP="00747F8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Zdravstvo i Aneks II: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smanjenje vrijednosti ali ne i jasna promjena tržišne strukture.</w:t>
      </w:r>
    </w:p>
    <w:p w14:paraId="1B5DADBD" w14:textId="44843CFA" w:rsidR="0021204D" w:rsidRPr="0021204D" w:rsidRDefault="0021204D" w:rsidP="00747F8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Komunalni sektor i energija: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lokalni monopolisti i povezana javna p</w:t>
      </w:r>
      <w:r w:rsidR="007C7E0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oduzeća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dalje dominiraju.</w:t>
      </w:r>
    </w:p>
    <w:p w14:paraId="73DEEC3F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0E729E5">
          <v:rect id="_x0000_i1043" style="width:0;height:1.5pt" o:hralign="center" o:hrstd="t" o:hr="t" fillcolor="#a0a0a0" stroked="f"/>
        </w:pict>
      </w:r>
    </w:p>
    <w:p w14:paraId="4A1A1CC1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4.5.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Koncentracija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66CDF94B" w14:textId="1F914E95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Grupe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ponu</w:t>
      </w:r>
      <w:r w:rsidR="007C7E06">
        <w:rPr>
          <w:rFonts w:ascii="Times New Roman" w:eastAsia="Times New Roman" w:hAnsi="Times New Roman" w:cs="Times New Roman"/>
          <w:kern w:val="0"/>
          <w14:ligatures w14:val="none"/>
        </w:rPr>
        <w:t>ditelja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E1A2A4" w14:textId="77777777" w:rsidR="0021204D" w:rsidRPr="0021204D" w:rsidRDefault="0021204D" w:rsidP="00747F8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843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(0,31%)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92932BD" w14:textId="77777777" w:rsidR="0021204D" w:rsidRPr="0021204D" w:rsidRDefault="0021204D" w:rsidP="00747F8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777.328.858,15 KM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≈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15,22%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ukupne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8C493C" w14:textId="20C167DE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Udio grupa ponu</w:t>
      </w:r>
      <w:r w:rsidR="007C7E0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se po vrijednosti ponovo povećava (sa 11,89% na 15,22%), što ukazuje na:</w:t>
      </w:r>
    </w:p>
    <w:p w14:paraId="0CE27511" w14:textId="77777777" w:rsidR="0021204D" w:rsidRPr="0021204D" w:rsidRDefault="0021204D" w:rsidP="00747F8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konsolidaciju velikih projekata u rukama ograničenog broja konsorcija,</w:t>
      </w:r>
    </w:p>
    <w:p w14:paraId="66B1C0B9" w14:textId="2BE14AE3" w:rsidR="0021204D" w:rsidRPr="0021204D" w:rsidRDefault="0021204D" w:rsidP="00747F8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kontinuiranu barijeru za MSP koja ne mogu samostalno konkuri</w:t>
      </w:r>
      <w:r w:rsidR="007C7E0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ati.</w:t>
      </w:r>
    </w:p>
    <w:p w14:paraId="4C3B7836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Okvirni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sporazumi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7F84E3" w14:textId="77777777" w:rsidR="0021204D" w:rsidRPr="0021204D" w:rsidRDefault="0021204D" w:rsidP="00747F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1.242.239.140,26 KM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oko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27,33%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Poglavlja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≈ 24,31%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svih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19C710" w14:textId="09F355C8" w:rsidR="0021204D" w:rsidRPr="0021204D" w:rsidRDefault="0021204D" w:rsidP="00747F8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okvirni sporazumi postaju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trajno centralni instrument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s velikim pozitivnim potencijalom, ali i visokim rizikom zatvaranja tržišta na duž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razdoblje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2F69F69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F3EF9B5">
          <v:rect id="_x0000_i1044" style="width:0;height:1.5pt" o:hralign="center" o:hrstd="t" o:hr="t" fillcolor="#a0a0a0" stroked="f"/>
        </w:pict>
      </w:r>
    </w:p>
    <w:p w14:paraId="1A4E3685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4.6. Poništavanje postupaka (2024)</w:t>
      </w:r>
    </w:p>
    <w:p w14:paraId="458E48B5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Uz stabilizaciju cijena, razlozi poništavanja se blago mijenjaju:</w:t>
      </w:r>
    </w:p>
    <w:p w14:paraId="7E883106" w14:textId="0B007B09" w:rsidR="0021204D" w:rsidRPr="0021204D" w:rsidRDefault="0021204D" w:rsidP="00747F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manje poništavanja zbog prelaska 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proračuna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49CDBB40" w14:textId="77777777" w:rsidR="0021204D" w:rsidRPr="0021204D" w:rsidRDefault="0021204D" w:rsidP="00747F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 dalje veliki broj postupaka bez ponuda ili sa neprihvatljivim ponudama,</w:t>
      </w:r>
    </w:p>
    <w:p w14:paraId="74955AB1" w14:textId="77777777" w:rsidR="0021204D" w:rsidRPr="0021204D" w:rsidRDefault="0021204D" w:rsidP="00747F8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 dalje prisutne greške u dokumentaciji.</w:t>
      </w:r>
    </w:p>
    <w:p w14:paraId="476931F4" w14:textId="7D80B743" w:rsidR="0021204D" w:rsidRPr="00F43886" w:rsidRDefault="00541E8F" w:rsidP="00F43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Učinak</w:t>
      </w:r>
      <w:r w:rsidR="0021204D"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21204D"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 pored blagog oporavka konkurencije u pojedinim segmentima, s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ustavu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dalje trpi zbog nedovoljnog planiranja i 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uvjeta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koji nisu usklađeni sa realnim kapacitetima tržišta. Posljedica je da se konkurencija ne može stabiliz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irati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jer tržište reag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ira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slabim odzivom na postupke koji su preambiciozno defini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ani, vremenski loše tempirani ili tehnički neadekvatno strukturirani. Time se održava 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ronično nizak broj ponuda i produžava 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razdoblja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smanjenog konkurentskog pritiska u cijelom s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ustavu</w:t>
      </w:r>
      <w:r w:rsidR="00F43886" w:rsidRPr="00F43886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9AE4531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4.7.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Dodatni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faktori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(2024)</w:t>
      </w:r>
    </w:p>
    <w:p w14:paraId="1DA143B1" w14:textId="77777777" w:rsidR="0021204D" w:rsidRPr="0021204D" w:rsidRDefault="0021204D" w:rsidP="00747F8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e-aukcije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: 14.580 aukcija, 13.939 ugovora, ušteda ≈ 124,85 mil. </w:t>
      </w:r>
      <w:r w:rsidRPr="0021204D">
        <w:rPr>
          <w:rFonts w:ascii="Times New Roman" w:eastAsia="Times New Roman" w:hAnsi="Times New Roman" w:cs="Times New Roman"/>
          <w:kern w:val="0"/>
          <w14:ligatures w14:val="none"/>
        </w:rPr>
        <w:t>KM.</w:t>
      </w:r>
    </w:p>
    <w:p w14:paraId="4EAE9D70" w14:textId="77777777" w:rsidR="0021204D" w:rsidRPr="0021204D" w:rsidRDefault="0021204D" w:rsidP="00747F8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ušteda je veća nego 2023, što je rezultat:</w:t>
      </w:r>
    </w:p>
    <w:p w14:paraId="1BDABE1C" w14:textId="58A03343" w:rsidR="0021204D" w:rsidRPr="0021204D" w:rsidRDefault="0021204D" w:rsidP="00747F81">
      <w:pPr>
        <w:numPr>
          <w:ilvl w:val="2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nešto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većeg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broja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61721">
        <w:rPr>
          <w:rFonts w:ascii="Times New Roman" w:eastAsia="Times New Roman" w:hAnsi="Times New Roman" w:cs="Times New Roman"/>
          <w:kern w:val="0"/>
          <w14:ligatures w14:val="none"/>
        </w:rPr>
        <w:t>sudionika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1BC0BA5" w14:textId="77777777" w:rsidR="0021204D" w:rsidRPr="0021204D" w:rsidRDefault="0021204D" w:rsidP="00747F81">
      <w:pPr>
        <w:numPr>
          <w:ilvl w:val="2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bolje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pripreme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referentnih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pojedinim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sektorima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1779C2" w14:textId="341721C7" w:rsidR="0021204D" w:rsidRPr="0021204D" w:rsidRDefault="0021204D" w:rsidP="00747F8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Zajedničke nabave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 14.749.848,83 KM (0,29%) – i dalje vrlo ni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ska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ali dvostruko veći udio nego 2023.</w:t>
      </w:r>
    </w:p>
    <w:p w14:paraId="1DA6BF86" w14:textId="31FA1476" w:rsidR="0021204D" w:rsidRPr="0021204D" w:rsidRDefault="0021204D" w:rsidP="00747F81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to je signal laganog “buđenja” koncepta zajedničkih nabav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10E4C6D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2EC7BD">
          <v:rect id="_x0000_i1045" style="width:0;height:1.5pt" o:hralign="center" o:hrstd="t" o:hr="t" fillcolor="#a0a0a0" stroked="f"/>
        </w:pict>
      </w:r>
    </w:p>
    <w:p w14:paraId="3C96B5C8" w14:textId="77777777" w:rsidR="0021204D" w:rsidRPr="0021204D" w:rsidRDefault="0021204D" w:rsidP="002120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4.8. Ključni nalaz za 2024.</w:t>
      </w:r>
    </w:p>
    <w:p w14:paraId="7CC89EBB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Godina 2024. donosi 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blago poboljšanje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 odnosu na 2023, ali:</w:t>
      </w:r>
    </w:p>
    <w:p w14:paraId="2D0B03BB" w14:textId="45EE2B0A" w:rsidR="0021204D" w:rsidRPr="00810B4A" w:rsidRDefault="00810B4A" w:rsidP="00810B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810B4A">
        <w:rPr>
          <w:rFonts w:ascii="Times New Roman" w:hAnsi="Times New Roman" w:cs="Times New Roman"/>
          <w:lang w:val="pt-BR"/>
        </w:rPr>
        <w:t xml:space="preserve">Iako se u 2023. godini bilježi djelimičan oporavak, konkurencija ostaje nedovoljna – prosječno 1,75 ponuda i dalje je ispod minimalnog praga za stabilno tržišno </w:t>
      </w:r>
      <w:r w:rsidR="00661721">
        <w:rPr>
          <w:rFonts w:ascii="Times New Roman" w:hAnsi="Times New Roman" w:cs="Times New Roman"/>
          <w:lang w:val="pt-BR"/>
        </w:rPr>
        <w:t>natjecanje</w:t>
      </w:r>
      <w:r w:rsidRPr="00810B4A">
        <w:rPr>
          <w:rFonts w:ascii="Times New Roman" w:hAnsi="Times New Roman" w:cs="Times New Roman"/>
          <w:lang w:val="pt-BR"/>
        </w:rPr>
        <w:t xml:space="preserve">. Pregovarački postupci bez objave i </w:t>
      </w:r>
      <w:r w:rsidR="00541E8F">
        <w:rPr>
          <w:rFonts w:ascii="Times New Roman" w:hAnsi="Times New Roman" w:cs="Times New Roman"/>
          <w:lang w:val="pt-BR"/>
        </w:rPr>
        <w:t>izravni</w:t>
      </w:r>
      <w:r w:rsidRPr="00810B4A">
        <w:rPr>
          <w:rFonts w:ascii="Times New Roman" w:hAnsi="Times New Roman" w:cs="Times New Roman"/>
          <w:lang w:val="pt-BR"/>
        </w:rPr>
        <w:t xml:space="preserve"> sporazumi ostaju među najvećim rizicima za konkurenciju, jer generi</w:t>
      </w:r>
      <w:r w:rsidR="00661721">
        <w:rPr>
          <w:rFonts w:ascii="Times New Roman" w:hAnsi="Times New Roman" w:cs="Times New Roman"/>
          <w:lang w:val="pt-BR"/>
        </w:rPr>
        <w:t>raju</w:t>
      </w:r>
      <w:r w:rsidRPr="00810B4A">
        <w:rPr>
          <w:rFonts w:ascii="Times New Roman" w:hAnsi="Times New Roman" w:cs="Times New Roman"/>
          <w:lang w:val="pt-BR"/>
        </w:rPr>
        <w:t xml:space="preserve"> procese sa minimalnim ili nikakvim tržišnim nadmetanjem. Istovremeno, koncentracija </w:t>
      </w:r>
      <w:r w:rsidRPr="00810B4A">
        <w:rPr>
          <w:rFonts w:ascii="Times New Roman" w:hAnsi="Times New Roman" w:cs="Times New Roman"/>
          <w:lang w:val="pt-BR"/>
        </w:rPr>
        <w:lastRenderedPageBreak/>
        <w:t xml:space="preserve">vrijednosti i tržišne moći ostaje visoka, što ukazuje na dominaciju ograničenog broja velikih dobavljača u ključnim sektorima. Centralizirane nabave ni u 2023. godini nisu iskorištene u punom potencijalu, te ne ostvaruju </w:t>
      </w:r>
      <w:r w:rsidR="00661721">
        <w:rPr>
          <w:rFonts w:ascii="Times New Roman" w:hAnsi="Times New Roman" w:cs="Times New Roman"/>
          <w:lang w:val="pt-BR"/>
        </w:rPr>
        <w:t>sustavni</w:t>
      </w:r>
      <w:r w:rsidRPr="00810B4A">
        <w:rPr>
          <w:rFonts w:ascii="Times New Roman" w:hAnsi="Times New Roman" w:cs="Times New Roman"/>
          <w:lang w:val="pt-BR"/>
        </w:rPr>
        <w:t xml:space="preserve"> </w:t>
      </w:r>
      <w:r w:rsidR="00541E8F">
        <w:rPr>
          <w:rFonts w:ascii="Times New Roman" w:hAnsi="Times New Roman" w:cs="Times New Roman"/>
          <w:lang w:val="pt-BR"/>
        </w:rPr>
        <w:t>učinak</w:t>
      </w:r>
      <w:r w:rsidRPr="00810B4A">
        <w:rPr>
          <w:rFonts w:ascii="Times New Roman" w:hAnsi="Times New Roman" w:cs="Times New Roman"/>
          <w:lang w:val="pt-BR"/>
        </w:rPr>
        <w:t xml:space="preserve"> na rast konkurencije, standardizaciju i jačanje tržišnog pritiska</w:t>
      </w:r>
      <w:r w:rsidR="0021204D" w:rsidRPr="00810B4A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A9AF99F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B16F69">
          <v:rect id="_x0000_i1046" style="width:0;height:1.5pt" o:hralign="center" o:hrstd="t" o:hr="t" fillcolor="#a0a0a0" stroked="f"/>
        </w:pict>
      </w:r>
    </w:p>
    <w:p w14:paraId="466716B0" w14:textId="77777777" w:rsidR="0021204D" w:rsidRPr="005233A7" w:rsidRDefault="0021204D" w:rsidP="002120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5.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Komparativni</w:t>
      </w:r>
      <w:proofErr w:type="spellEnd"/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pregled</w:t>
      </w:r>
      <w:proofErr w:type="spellEnd"/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2022–2024. i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ključni</w:t>
      </w:r>
      <w:proofErr w:type="spellEnd"/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nalazi</w:t>
      </w:r>
      <w:proofErr w:type="spellEnd"/>
    </w:p>
    <w:p w14:paraId="7C117C2D" w14:textId="77777777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Prosječan</w:t>
      </w:r>
      <w:proofErr w:type="spellEnd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broj</w:t>
      </w:r>
      <w:proofErr w:type="spellEnd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ponuda</w:t>
      </w:r>
      <w:proofErr w:type="spellEnd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pad,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dno</w:t>
      </w:r>
      <w:proofErr w:type="spellEnd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, pa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skroman</w:t>
      </w:r>
      <w:proofErr w:type="spellEnd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5233A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oporavak</w:t>
      </w:r>
      <w:proofErr w:type="spellEnd"/>
    </w:p>
    <w:p w14:paraId="45D5C06F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Trend:</w:t>
      </w:r>
    </w:p>
    <w:p w14:paraId="3444465B" w14:textId="77777777" w:rsidR="000F13D3" w:rsidRPr="000F13D3" w:rsidRDefault="000F13D3" w:rsidP="00747F8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2022: 2,14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još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uvijek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relativno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stabilan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prosjek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4BD758" w14:textId="77777777" w:rsidR="000F13D3" w:rsidRPr="000F13D3" w:rsidRDefault="000F13D3" w:rsidP="00747F8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2023: 1,62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najniže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posljednjoj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deceniji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910CFC" w14:textId="77777777" w:rsidR="000F13D3" w:rsidRPr="000F13D3" w:rsidRDefault="000F13D3" w:rsidP="00747F81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2024: 1,75 ponuda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→ blagi oporavak, ali i dalje prenizak.</w:t>
      </w:r>
    </w:p>
    <w:p w14:paraId="0B043318" w14:textId="77777777" w:rsidR="00981AC7" w:rsidRDefault="000F13D3" w:rsidP="000E0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Analitička poruka:</w:t>
      </w:r>
    </w:p>
    <w:p w14:paraId="79ABD3FE" w14:textId="10ADF3D4" w:rsidR="000F13D3" w:rsidRPr="000F13D3" w:rsidRDefault="000F13D3" w:rsidP="000E0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je 2023. godine ušao u zonu 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duboke strukturne erozije konkurencije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. Broj ponuda se ni 2024. nije vratio na </w:t>
      </w:r>
      <w:r w:rsidR="006617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razini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iz 2022, što znači da se tržište oporavlja vrlo sporo i da su konkurentski kapaciteti dugoročno narušeni.</w:t>
      </w:r>
    </w:p>
    <w:p w14:paraId="4FF0BD2B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Šta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konkretno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znači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1960B3D" w14:textId="77777777" w:rsidR="000F13D3" w:rsidRPr="000F13D3" w:rsidRDefault="000F13D3" w:rsidP="00747F8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1–2 ponude u prosjeku = 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nema realnog nadmetanja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nema obaranja cijena.</w:t>
      </w:r>
    </w:p>
    <w:p w14:paraId="5439FD39" w14:textId="77777777" w:rsidR="000F13D3" w:rsidRPr="000F13D3" w:rsidRDefault="000F13D3" w:rsidP="00747F8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Tržište se “zatvara”, a ulazak novih firmi postaje ograničen.</w:t>
      </w:r>
    </w:p>
    <w:p w14:paraId="4FB45A49" w14:textId="1F40BFD3" w:rsidR="000F13D3" w:rsidRPr="000F13D3" w:rsidRDefault="00541E8F" w:rsidP="00747F81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Učinak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vidljiv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rastu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manjku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alternative za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ugovorne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organe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F86F8B" w14:textId="77777777" w:rsidR="000F13D3" w:rsidRPr="000F13D3" w:rsidRDefault="004F4BCE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60D45A">
          <v:rect id="_x0000_i1047" style="width:0;height:1.5pt" o:hralign="center" o:hrstd="t" o:hr="t" fillcolor="#a0a0a0" stroked="f"/>
        </w:pict>
      </w:r>
    </w:p>
    <w:p w14:paraId="59DC1D35" w14:textId="77777777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2. Poglavlje V – ogromni administrativni volumen, minimalna konkurencija</w:t>
      </w:r>
    </w:p>
    <w:p w14:paraId="6C5961CD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Udio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broju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C09F6B9" w14:textId="77777777" w:rsidR="000F13D3" w:rsidRPr="000F13D3" w:rsidRDefault="000F13D3" w:rsidP="00747F8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61–64%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svih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sistemu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4AFDC8" w14:textId="7E4D4B17" w:rsidR="000F13D3" w:rsidRPr="000F13D3" w:rsidRDefault="00541E8F" w:rsidP="00747F81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Izravni</w:t>
      </w:r>
      <w:proofErr w:type="spellEnd"/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sporazumi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čine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82–86%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svih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>Poglavlju</w:t>
      </w:r>
      <w:proofErr w:type="spellEnd"/>
      <w:r w:rsidR="000F13D3"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V.</w:t>
      </w:r>
    </w:p>
    <w:p w14:paraId="08F6D50D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Prosjek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≈ 1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057FCB6" w14:textId="4152C4EC" w:rsidR="000F13D3" w:rsidRPr="000F13D3" w:rsidRDefault="000F13D3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Analitička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poruka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Poglavlje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V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funkcioni</w:t>
      </w:r>
      <w:r w:rsidR="007B4728">
        <w:rPr>
          <w:rFonts w:ascii="Times New Roman" w:eastAsia="Times New Roman" w:hAnsi="Times New Roman" w:cs="Times New Roman"/>
          <w:kern w:val="0"/>
          <w14:ligatures w14:val="none"/>
        </w:rPr>
        <w:t>ra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proofErr w:type="spellStart"/>
      <w:r w:rsidR="007B47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tvornica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ugovora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ali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ne i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konkurencije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</w:t>
      </w:r>
      <w:r w:rsidR="00E760F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pseg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je ogroman, ali se odvija u procedurama koje gotovo da ne uključuju tržišno nadmetanje.</w:t>
      </w:r>
    </w:p>
    <w:p w14:paraId="4A86934E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Konkretne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posljedice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7CDF23A" w14:textId="4454B733" w:rsidR="000F13D3" w:rsidRPr="000F13D3" w:rsidRDefault="000F13D3" w:rsidP="00747F8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se administrativno preopterećuje, ali bez </w:t>
      </w:r>
      <w:r w:rsidR="00541E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učinaka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na tržište.</w:t>
      </w:r>
    </w:p>
    <w:p w14:paraId="22D26999" w14:textId="4B4DE40B" w:rsidR="000F13D3" w:rsidRPr="000F13D3" w:rsidRDefault="000F13D3" w:rsidP="00747F8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Veliki broj nabav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prolazi potpuno bez takmičenja → rizik precijenjenih ponuda.</w:t>
      </w:r>
    </w:p>
    <w:p w14:paraId="7D29D3D7" w14:textId="77777777" w:rsidR="000F13D3" w:rsidRPr="000F13D3" w:rsidRDefault="000F13D3" w:rsidP="00747F81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Poglavlje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V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potiskuje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prave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konkurentske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postupke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B0E753" w14:textId="77777777" w:rsidR="000F13D3" w:rsidRPr="000F13D3" w:rsidRDefault="004F4BCE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BF762E">
          <v:rect id="_x0000_i1048" style="width:0;height:1.5pt" o:hralign="center" o:hrstd="t" o:hr="t" fillcolor="#a0a0a0" stroked="f"/>
        </w:pict>
      </w:r>
    </w:p>
    <w:p w14:paraId="45A73DAF" w14:textId="77777777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de-DE"/>
          <w14:ligatures w14:val="none"/>
        </w:rPr>
        <w:t>3. Aneks II – strukturno niska konkurencija u sve tri godine</w:t>
      </w:r>
    </w:p>
    <w:p w14:paraId="3BF636F2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Uočeni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obrasci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FA6A99E" w14:textId="77777777" w:rsidR="000F13D3" w:rsidRPr="000F13D3" w:rsidRDefault="000F13D3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2023: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rast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C60C14" w14:textId="77777777" w:rsidR="000F13D3" w:rsidRPr="000F13D3" w:rsidRDefault="000F13D3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2024: pad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ali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konkurencija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raste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CA5ADF" w14:textId="353CB1EC" w:rsidR="000F13D3" w:rsidRPr="000F13D3" w:rsidRDefault="000F13D3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 svim godinama mali broj licenciranih, specijaliziranih ponu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750CDD4C" w14:textId="77DEF7D8" w:rsidR="000F13D3" w:rsidRPr="000F13D3" w:rsidRDefault="000F13D3" w:rsidP="00747F81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Dominiraju 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tvrtke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iz zdravstva i socijalnih usluga.</w:t>
      </w:r>
    </w:p>
    <w:p w14:paraId="0992A6F9" w14:textId="397F5320" w:rsidR="000F13D3" w:rsidRPr="000F13D3" w:rsidRDefault="000F13D3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Analitička poruka: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 xml:space="preserve">Aneks II je sektor 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 inherentnim tržišnim ograničenjem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mali broj subjekata koji mogu ispuniti specifične uvjete. Zato je konkurencija trajno niska i tržište izrazito koncentri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ano.</w:t>
      </w:r>
    </w:p>
    <w:p w14:paraId="5A1C4365" w14:textId="7E1B45C3" w:rsidR="000F13D3" w:rsidRPr="000F13D3" w:rsidRDefault="000F13D3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Konkretna implikacija: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>Sektor zdravstva je jedan od najvećih generatora single-bid postupaka u cijelom s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ustavu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9526897" w14:textId="77777777" w:rsidR="000F13D3" w:rsidRPr="000F13D3" w:rsidRDefault="004F4BCE" w:rsidP="000E06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225BBB9">
          <v:rect id="_x0000_i1049" style="width:0;height:1.5pt" o:hralign="center" o:hrstd="t" o:hr="t" fillcolor="#a0a0a0" stroked="f"/>
        </w:pict>
      </w:r>
    </w:p>
    <w:p w14:paraId="398315BD" w14:textId="77777777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4. Visoka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koncentracija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vrijednosti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–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tržište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pod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kontrolom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malog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broja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dobavljača</w:t>
      </w:r>
      <w:proofErr w:type="spellEnd"/>
    </w:p>
    <w:p w14:paraId="74E5C5EE" w14:textId="0C2273DC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Udio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koji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drže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grupe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</w:t>
      </w:r>
      <w:r w:rsidR="007B47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ditelja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DE7263C" w14:textId="77777777" w:rsidR="000F13D3" w:rsidRPr="000F13D3" w:rsidRDefault="000F13D3" w:rsidP="00747F8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2022: 20,84%</w:t>
      </w:r>
    </w:p>
    <w:p w14:paraId="17B29F7F" w14:textId="77777777" w:rsidR="000F13D3" w:rsidRPr="000F13D3" w:rsidRDefault="000F13D3" w:rsidP="00747F8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2023: 11,89%</w:t>
      </w:r>
    </w:p>
    <w:p w14:paraId="3A9D7A7E" w14:textId="77777777" w:rsidR="000F13D3" w:rsidRPr="000F13D3" w:rsidRDefault="000F13D3" w:rsidP="00747F81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2024: 15,22%</w:t>
      </w:r>
    </w:p>
    <w:p w14:paraId="467105D2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Okvirni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sporazumi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nosili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24–27%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ukupne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78F91F27" w14:textId="658AE8C4" w:rsidR="000F13D3" w:rsidRPr="000F13D3" w:rsidRDefault="000F13D3" w:rsidP="00FC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Analitičk</w:t>
      </w:r>
      <w:r w:rsidR="000E06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proofErr w:type="spellEnd"/>
      <w:r w:rsidR="000E06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poruka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Iako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udjeli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mijenjaju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tržište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je u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tri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visoko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koncentrirano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Ključne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vrijednosne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tokove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drži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mali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velikih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igrača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posebno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radovima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komunalijama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zdravstvu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2D2185" w14:textId="448CC463" w:rsidR="000F13D3" w:rsidRPr="000F13D3" w:rsidRDefault="00541E8F" w:rsidP="000E06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Učinak</w:t>
      </w:r>
      <w:proofErr w:type="spellEnd"/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koncentracije</w:t>
      </w:r>
      <w:proofErr w:type="spellEnd"/>
      <w:r w:rsidR="000F13D3"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66B92A7" w14:textId="77777777" w:rsidR="000F13D3" w:rsidRPr="000F13D3" w:rsidRDefault="000F13D3" w:rsidP="00747F81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Smanjena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elastičnost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E5F85F" w14:textId="77777777" w:rsidR="000F13D3" w:rsidRPr="000F13D3" w:rsidRDefault="000F13D3" w:rsidP="00747F81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Ojačana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pregovaračka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moć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dobavljača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7616F9" w14:textId="77777777" w:rsidR="000F13D3" w:rsidRPr="000F13D3" w:rsidRDefault="000F13D3" w:rsidP="00747F81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Veći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rizik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od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neformalnog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usklađivanja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5C2CB8" w14:textId="77777777" w:rsidR="000F13D3" w:rsidRPr="000F13D3" w:rsidRDefault="004F4BCE" w:rsidP="000E06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9F692B">
          <v:rect id="_x0000_i1050" style="width:0;height:1.5pt" o:hralign="center" o:hrstd="t" o:hr="t" fillcolor="#a0a0a0" stroked="f"/>
        </w:pict>
      </w:r>
    </w:p>
    <w:p w14:paraId="002C55A8" w14:textId="25E174C6" w:rsidR="000F13D3" w:rsidRPr="001F2F7B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5. Single-bid postupci – trajni, s</w:t>
      </w:r>
      <w:r w:rsidR="007B4728" w:rsidRPr="001F2F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ustavni</w:t>
      </w:r>
      <w:r w:rsidRPr="001F2F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problem</w:t>
      </w:r>
    </w:p>
    <w:p w14:paraId="3FDEB418" w14:textId="77777777" w:rsidR="000F13D3" w:rsidRPr="001F2F7B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Procjene udjela:</w:t>
      </w:r>
    </w:p>
    <w:p w14:paraId="5DAFE10C" w14:textId="77777777" w:rsidR="000F13D3" w:rsidRPr="000F13D3" w:rsidRDefault="000F13D3" w:rsidP="00747F8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2022: 35–40%</w:t>
      </w:r>
    </w:p>
    <w:p w14:paraId="3F5979E7" w14:textId="77777777" w:rsidR="000F13D3" w:rsidRPr="000F13D3" w:rsidRDefault="000F13D3" w:rsidP="00747F8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2023: 40–45%</w:t>
      </w:r>
    </w:p>
    <w:p w14:paraId="66A66603" w14:textId="77777777" w:rsidR="000F13D3" w:rsidRPr="000F13D3" w:rsidRDefault="000F13D3" w:rsidP="00747F81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2024: 35–40%</w:t>
      </w:r>
    </w:p>
    <w:p w14:paraId="70AAC4A0" w14:textId="77777777" w:rsidR="00A22557" w:rsidRDefault="000F13D3" w:rsidP="00FC2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Analitička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poruka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8A46BCA" w14:textId="6246319F" w:rsidR="000F13D3" w:rsidRPr="000F13D3" w:rsidRDefault="000F13D3" w:rsidP="00FC2E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Single-bid nije izuzetak nego </w:t>
      </w:r>
      <w:r w:rsidRPr="00E274AC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strukturna karakteristika tržišta</w:t>
      </w:r>
      <w:r w:rsidRPr="00E274AC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. 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Bez realne konkurencije nema obaranja cijena, nema racionalne potrošnje i nema pozitivnog pritiska na kvalitet.</w:t>
      </w:r>
    </w:p>
    <w:p w14:paraId="76C7F108" w14:textId="39812554" w:rsidR="000F13D3" w:rsidRPr="000F13D3" w:rsidRDefault="007B4728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Izravan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</w:t>
      </w:r>
      <w:r w:rsidR="00541E8F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učinak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 xml:space="preserve">Razlika u cijeni između 1 i 3+ ponude može iznositi </w:t>
      </w:r>
      <w:r w:rsidR="000F13D3"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20–30%</w:t>
      </w:r>
      <w:r w:rsidR="000F13D3"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6F76B923" w14:textId="77777777" w:rsidR="000F13D3" w:rsidRPr="000F13D3" w:rsidRDefault="004F4BCE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9282F8">
          <v:rect id="_x0000_i1051" style="width:0;height:1.5pt" o:hralign="center" o:hrstd="t" o:hr="t" fillcolor="#a0a0a0" stroked="f"/>
        </w:pict>
      </w:r>
    </w:p>
    <w:p w14:paraId="38A97006" w14:textId="77777777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6. Poništavanje postupaka – indikator slabog tržišta i slabog planiranja</w:t>
      </w:r>
    </w:p>
    <w:p w14:paraId="573B56D7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Uočeno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A7F6CF2" w14:textId="77777777" w:rsidR="000F13D3" w:rsidRPr="000F13D3" w:rsidRDefault="000F13D3" w:rsidP="00747F8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Ponovljeni postupci često donose 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još manje ponuda nego prvi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583368A" w14:textId="5AE07DDB" w:rsidR="000F13D3" w:rsidRPr="000F13D3" w:rsidRDefault="000F13D3" w:rsidP="00747F81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To ukazuje na loše defini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ane u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vjete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nedovoljno planiranje i nedostatak analize tržišta.</w:t>
      </w:r>
    </w:p>
    <w:p w14:paraId="35D00F92" w14:textId="50BD2AD2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Analitička poruka: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>Što više poništavanja → to slabije konkurencija, jer ponu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ditelji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gube interes i povjerenje.</w:t>
      </w:r>
    </w:p>
    <w:p w14:paraId="09F219CD" w14:textId="77777777" w:rsidR="000F13D3" w:rsidRPr="000F13D3" w:rsidRDefault="004F4BCE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B7309A">
          <v:rect id="_x0000_i1052" style="width:0;height:1.5pt" o:hralign="center" o:hrstd="t" o:hr="t" fillcolor="#a0a0a0" stroked="f"/>
        </w:pict>
      </w:r>
    </w:p>
    <w:p w14:paraId="27D48512" w14:textId="77777777" w:rsidR="000F13D3" w:rsidRPr="000F13D3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7. E-aukcije – djelotvorne samo kada već postoji konkurencija</w:t>
      </w:r>
    </w:p>
    <w:p w14:paraId="1F01D4D7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Uvid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4EF2A8" w14:textId="46CE5279" w:rsidR="000F13D3" w:rsidRPr="000F13D3" w:rsidRDefault="000F13D3" w:rsidP="00747F8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Aukcije donose uštede 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samo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ako postoje barem 2–3 ponu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3BFD381" w14:textId="1FB4DB21" w:rsidR="000F13D3" w:rsidRPr="000F13D3" w:rsidRDefault="000F13D3" w:rsidP="00747F81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U single-bid sektorima </w:t>
      </w:r>
      <w:r w:rsidR="00541E8F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učinak</w:t>
      </w:r>
      <w:r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aukcije je 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nula</w:t>
      </w:r>
      <w:r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.</w:t>
      </w:r>
    </w:p>
    <w:p w14:paraId="71219F60" w14:textId="142DF0F0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lastRenderedPageBreak/>
        <w:t>Analitička poruka:</w:t>
      </w:r>
      <w:r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br/>
        <w:t xml:space="preserve">E-aukcije su važan, ali 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sekundarni alat</w:t>
      </w:r>
      <w:r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– ne mogu riješiti </w:t>
      </w:r>
      <w:r w:rsidR="007B4728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temeljni</w:t>
      </w:r>
      <w:r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problem nedostatka ponuda.</w:t>
      </w:r>
    </w:p>
    <w:p w14:paraId="31EC29D3" w14:textId="77777777" w:rsidR="000F13D3" w:rsidRPr="000F13D3" w:rsidRDefault="004F4BCE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D02284">
          <v:rect id="_x0000_i1053" style="width:0;height:1.5pt" o:hralign="center" o:hrstd="t" o:hr="t" fillcolor="#a0a0a0" stroked="f"/>
        </w:pict>
      </w:r>
    </w:p>
    <w:p w14:paraId="4C0D588C" w14:textId="2FD5DABD" w:rsidR="000F13D3" w:rsidRPr="001F2F7B" w:rsidRDefault="000F13D3" w:rsidP="000F1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8. Centralizirane i zajedničke nabave – s</w:t>
      </w:r>
      <w:r w:rsidR="007B4728" w:rsidRPr="001F2F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ustavno</w:t>
      </w:r>
      <w:r w:rsidRPr="001F2F7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 zakazale</w:t>
      </w:r>
    </w:p>
    <w:p w14:paraId="370AC4FB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Udio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ukupnoj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vrijednosti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333AE05" w14:textId="25CA4E71" w:rsidR="000F13D3" w:rsidRPr="000F13D3" w:rsidRDefault="000F13D3" w:rsidP="00747F81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0,14–0,29% →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praktički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bez </w:t>
      </w:r>
      <w:proofErr w:type="spellStart"/>
      <w:r w:rsidR="00541E8F">
        <w:rPr>
          <w:rFonts w:ascii="Times New Roman" w:eastAsia="Times New Roman" w:hAnsi="Times New Roman" w:cs="Times New Roman"/>
          <w:kern w:val="0"/>
          <w14:ligatures w14:val="none"/>
        </w:rPr>
        <w:t>učin</w:t>
      </w:r>
      <w:r w:rsidR="007B4728">
        <w:rPr>
          <w:rFonts w:ascii="Times New Roman" w:eastAsia="Times New Roman" w:hAnsi="Times New Roman" w:cs="Times New Roman"/>
          <w:kern w:val="0"/>
          <w14:ligatures w14:val="none"/>
        </w:rPr>
        <w:t>ka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A7D1AD" w14:textId="77777777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Analitička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poruka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Centralizacija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neiskorišten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mehanizam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koji bi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mogao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123CE37" w14:textId="77777777" w:rsidR="000F13D3" w:rsidRPr="000F13D3" w:rsidRDefault="000F13D3" w:rsidP="00747F8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smanjiti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cijene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5AACAD3" w14:textId="1F3F288C" w:rsidR="000F13D3" w:rsidRPr="000F13D3" w:rsidRDefault="000F13D3" w:rsidP="00747F8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rasteretiti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7B4728">
        <w:rPr>
          <w:rFonts w:ascii="Times New Roman" w:eastAsia="Times New Roman" w:hAnsi="Times New Roman" w:cs="Times New Roman"/>
          <w:kern w:val="0"/>
          <w14:ligatures w14:val="none"/>
        </w:rPr>
        <w:t>ustav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433FF5B" w14:textId="55034698" w:rsidR="000F13D3" w:rsidRPr="000F13D3" w:rsidRDefault="000F13D3" w:rsidP="00747F81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povećati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konkurenciju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homogenim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nabavama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D825E4" w14:textId="5F2B29DC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Ali: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>Bez institucionalnog pritiska i kapaciteta – s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se oslanja na atomizirane, male, nekonkurentske postupke.</w:t>
      </w:r>
    </w:p>
    <w:p w14:paraId="043281E2" w14:textId="77777777" w:rsidR="000F13D3" w:rsidRPr="000F13D3" w:rsidRDefault="004F4BCE" w:rsidP="000F1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AC8FFFE">
          <v:rect id="_x0000_i1054" style="width:0;height:1.5pt" o:hralign="center" o:hrstd="t" o:hr="t" fillcolor="#a0a0a0" stroked="f"/>
        </w:pict>
      </w:r>
    </w:p>
    <w:p w14:paraId="20AD7DB7" w14:textId="77777777" w:rsidR="000F13D3" w:rsidRPr="000F13D3" w:rsidRDefault="000F13D3" w:rsidP="000F13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Zaključna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poruka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–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tržište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2022–2024.</w:t>
      </w:r>
    </w:p>
    <w:p w14:paraId="3ABC9B50" w14:textId="69CA5464" w:rsidR="000F13D3" w:rsidRPr="000F13D3" w:rsidRDefault="000F13D3" w:rsidP="000F13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Tržište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javnih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nabav</w:t>
      </w:r>
      <w:r w:rsidR="007B4728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BiH je u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ove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tri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godine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prošlo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9F30FD" w14:textId="77777777" w:rsidR="000F13D3" w:rsidRPr="000F13D3" w:rsidRDefault="000F13D3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pad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konkurencije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6274D74" w14:textId="1E1FE5F8" w:rsidR="000F13D3" w:rsidRPr="000F13D3" w:rsidRDefault="000F13D3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rekordni </w:t>
      </w:r>
      <w:r w:rsidR="00F72E19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razina</w:t>
      </w:r>
      <w:r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single-bid postupaka</w:t>
      </w:r>
      <w:r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</w:t>
      </w:r>
    </w:p>
    <w:p w14:paraId="4CD31236" w14:textId="77777777" w:rsidR="000F13D3" w:rsidRPr="000F13D3" w:rsidRDefault="000F13D3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rast koncentracije vrijednosti u ključnim sektorima</w:t>
      </w:r>
      <w:r w:rsidRPr="000F13D3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,</w:t>
      </w:r>
    </w:p>
    <w:p w14:paraId="586E8EDD" w14:textId="77777777" w:rsidR="000F13D3" w:rsidRPr="000F13D3" w:rsidRDefault="000F13D3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slabu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centralizaciju</w:t>
      </w:r>
      <w:proofErr w:type="spellEnd"/>
      <w:r w:rsidRPr="000F13D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46B87AF" w14:textId="77777777" w:rsidR="000F13D3" w:rsidRPr="000F13D3" w:rsidRDefault="000F13D3" w:rsidP="00747F8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preveliko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korištenje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nekonkurentskih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procedura</w:t>
      </w:r>
      <w:proofErr w:type="spellEnd"/>
      <w:r w:rsidRPr="000F13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(PBO, DS)</w:t>
      </w:r>
      <w:r w:rsidRPr="000F13D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5B659D" w14:textId="2EC111E4" w:rsidR="0021204D" w:rsidRPr="0021204D" w:rsidRDefault="000F13D3" w:rsidP="00324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F13D3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2023. je godina najdublje erozije konkurencije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  <w:r w:rsidR="0032446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0F13D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 2024. je donijela mali, ali nedovoljan oporavak.</w:t>
      </w:r>
    </w:p>
    <w:p w14:paraId="675614DF" w14:textId="77777777" w:rsidR="0021204D" w:rsidRPr="0021204D" w:rsidRDefault="004F4BCE" w:rsidP="002120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0BC925">
          <v:rect id="_x0000_i1055" style="width:0;height:1.5pt" o:hralign="center" o:hrstd="t" o:hr="t" fillcolor="#a0a0a0" stroked="f"/>
        </w:pict>
      </w:r>
    </w:p>
    <w:p w14:paraId="6C6B8ADF" w14:textId="6F056216" w:rsidR="0021204D" w:rsidRPr="0021204D" w:rsidRDefault="0021204D" w:rsidP="005233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DE"/>
          <w14:ligatures w14:val="none"/>
        </w:rPr>
      </w:pPr>
      <w:r w:rsidRPr="00812A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6.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Preporuke za unapređenje konkurencije (2022–2024</w:t>
      </w:r>
      <w:r w:rsid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 xml:space="preserve"> </w:t>
      </w:r>
      <w:r w:rsidRPr="005233A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de-DE"/>
          <w14:ligatures w14:val="none"/>
        </w:rPr>
        <w:t>horizontalno)</w:t>
      </w:r>
    </w:p>
    <w:p w14:paraId="74BB815F" w14:textId="77777777" w:rsidR="0021204D" w:rsidRPr="0021204D" w:rsidRDefault="0021204D" w:rsidP="002120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Na osnovu sva tri godišta i svih raspoloživih podataka, preporučuje se:</w:t>
      </w:r>
    </w:p>
    <w:p w14:paraId="585F1D29" w14:textId="001EFD68" w:rsidR="0021204D" w:rsidRPr="0021204D" w:rsidRDefault="0021204D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lastRenderedPageBreak/>
        <w:t>S</w:t>
      </w:r>
      <w:r w:rsidR="007B4728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ustavno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praćenje postupaka sa jednom ponudom</w:t>
      </w:r>
    </w:p>
    <w:p w14:paraId="53EE8D47" w14:textId="276A80CA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obavezni izvještaji po ugovornom 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tijelu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vrsti postupka, vrijednosnom razredu i sektoru,</w:t>
      </w:r>
    </w:p>
    <w:p w14:paraId="01AEBF67" w14:textId="44C76DE3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ciljane mjere za 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kod kojih je udio single-bid postupaka iznad prosjeka.</w:t>
      </w:r>
    </w:p>
    <w:p w14:paraId="27F18765" w14:textId="77777777" w:rsidR="0021204D" w:rsidRPr="0021204D" w:rsidRDefault="0021204D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Ograničavanje i stroža kontrola PBO:</w:t>
      </w:r>
    </w:p>
    <w:p w14:paraId="77E3F147" w14:textId="77777777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pooštriti uslove primjene, naročito u radovima,</w:t>
      </w:r>
    </w:p>
    <w:p w14:paraId="7EAC1B7D" w14:textId="6C5DC0F9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za PBO iznad određenog praga uvesti </w:t>
      </w:r>
      <w:r w:rsidR="00E370A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dodatni nadzor</w:t>
      </w:r>
    </w:p>
    <w:p w14:paraId="2BA77D6D" w14:textId="052A53E9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javno objavljivati agregirane preglede PBO po 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tijelima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sektorima.</w:t>
      </w:r>
    </w:p>
    <w:p w14:paraId="5383918B" w14:textId="745C37A3" w:rsidR="0021204D" w:rsidRPr="0021204D" w:rsidRDefault="0021204D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Kontrola i racionalizacija </w:t>
      </w:r>
      <w:r w:rsidR="007B4728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izravnog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sporazuma:</w:t>
      </w:r>
    </w:p>
    <w:p w14:paraId="79735E41" w14:textId="439249F7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pratiti kumulativne vrijednosti po dobavljaču i 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tijelu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59F3DEDE" w14:textId="46DC8BC7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sprječavati vještačko usitnjavanje nabav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e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ispod pragova,</w:t>
      </w:r>
    </w:p>
    <w:p w14:paraId="7BB9E334" w14:textId="447B0A26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javno objavljivati statistike udjela DS u broju i vrijednosti nabav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po 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tijelima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54E4C0F" w14:textId="77777777" w:rsidR="0021204D" w:rsidRPr="0021204D" w:rsidRDefault="0021204D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Dosljedna primjena podjele na lotove gdje je to racionalno:</w:t>
      </w:r>
    </w:p>
    <w:p w14:paraId="47C8B331" w14:textId="3F412673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obavezno razmatranje lotova za nabave iznad određenog praga </w:t>
      </w:r>
    </w:p>
    <w:p w14:paraId="798F2D2C" w14:textId="77777777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obrazloženje kada se lotovi ne primjenjuju,</w:t>
      </w:r>
    </w:p>
    <w:p w14:paraId="04C4F10A" w14:textId="77777777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lotovi dizajnirani tako da budu pristupačni MSP.</w:t>
      </w:r>
    </w:p>
    <w:p w14:paraId="125FD072" w14:textId="1C7CF45C" w:rsidR="0021204D" w:rsidRPr="0021204D" w:rsidRDefault="0021204D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Jačanje centraliziranih i zajedničkih nabav</w:t>
      </w:r>
      <w:r w:rsidR="007B4728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</w:t>
      </w: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:</w:t>
      </w:r>
    </w:p>
    <w:p w14:paraId="00CC67A8" w14:textId="00ABBB35" w:rsidR="0021204D" w:rsidRPr="001F2F7B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identifikovati 5–10 homogenih kategorija (IT, energenti, </w:t>
      </w:r>
      <w:r w:rsidR="002426BB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uredski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materijal, medicinski potrošni materijal),</w:t>
      </w:r>
    </w:p>
    <w:p w14:paraId="3CB13B06" w14:textId="1842E2D8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organi</w:t>
      </w:r>
      <w:r w:rsidR="00CB3593">
        <w:rPr>
          <w:rFonts w:ascii="Times New Roman" w:eastAsia="Times New Roman" w:hAnsi="Times New Roman" w:cs="Times New Roman"/>
          <w:kern w:val="0"/>
          <w14:ligatures w14:val="none"/>
        </w:rPr>
        <w:t>zirati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pilot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centralizovane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postupke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6322859" w14:textId="2A0140CD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prati uštede i </w:t>
      </w:r>
      <w:r w:rsidR="00541E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učinak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na broj ponuda.</w:t>
      </w:r>
    </w:p>
    <w:p w14:paraId="7D42DB75" w14:textId="77777777" w:rsidR="0021204D" w:rsidRPr="0021204D" w:rsidRDefault="0021204D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Smanjenje administrativnih i tehničkih barijera:</w:t>
      </w:r>
    </w:p>
    <w:p w14:paraId="08EA24E6" w14:textId="08CB3A1C" w:rsidR="0021204D" w:rsidRPr="001F2F7B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prilagoditi kvalifikaci</w:t>
      </w:r>
      <w:r w:rsidR="007B4728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jske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tehničke u</w:t>
      </w:r>
      <w:r w:rsidR="007B4728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vjete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realnim tržišnim kapacitetima,</w:t>
      </w:r>
    </w:p>
    <w:p w14:paraId="199635BE" w14:textId="77777777" w:rsidR="0021204D" w:rsidRPr="001F2F7B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izbjegavati nepotrebno visoke zahtjeve koji isključuju MSP,</w:t>
      </w:r>
    </w:p>
    <w:p w14:paraId="3298779E" w14:textId="77777777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standardizovati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>dokumentaciju</w:t>
      </w:r>
      <w:proofErr w:type="spellEnd"/>
      <w:r w:rsidRPr="0021204D">
        <w:rPr>
          <w:rFonts w:ascii="Times New Roman" w:eastAsia="Times New Roman" w:hAnsi="Times New Roman" w:cs="Times New Roman"/>
          <w:kern w:val="0"/>
          <w14:ligatures w14:val="none"/>
        </w:rPr>
        <w:t xml:space="preserve"> i procedure.</w:t>
      </w:r>
    </w:p>
    <w:p w14:paraId="1E31A7B7" w14:textId="77777777" w:rsidR="0021204D" w:rsidRPr="0021204D" w:rsidRDefault="0021204D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Razvoj indikatora trajanja procedura i povezanosti sa konkurencijom:</w:t>
      </w:r>
    </w:p>
    <w:p w14:paraId="71FBDD9C" w14:textId="671662CB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mjeriti vrijeme od objave do dodjele ugovora po vrsti postupka, vrijednosti, sektoru, </w:t>
      </w:r>
      <w:r w:rsidR="0052763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razini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vlasti,</w:t>
      </w:r>
    </w:p>
    <w:p w14:paraId="6671AA79" w14:textId="77777777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analizirati kako rokovi utiču na broj ponuda i učestalost poništavanja.</w:t>
      </w:r>
    </w:p>
    <w:p w14:paraId="31A5C717" w14:textId="77777777" w:rsidR="0021204D" w:rsidRPr="0021204D" w:rsidRDefault="0021204D" w:rsidP="00747F8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Ciljana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upotreba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e-</w:t>
      </w:r>
      <w:proofErr w:type="spellStart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aukcija</w:t>
      </w:r>
      <w:proofErr w:type="spellEnd"/>
      <w:r w:rsidRPr="002120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FD37CBF" w14:textId="77777777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širenje e-aukcija u segmentima sa evidentnim prostorom za cjenovno nadmetanje,</w:t>
      </w:r>
    </w:p>
    <w:p w14:paraId="2F65787D" w14:textId="77777777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izbjegavanje e-aukcija gdje je presudan kvalitet, a ne cijena,</w:t>
      </w:r>
    </w:p>
    <w:p w14:paraId="62CC29BA" w14:textId="11AA5D9C" w:rsidR="0021204D" w:rsidRPr="0021204D" w:rsidRDefault="0021204D" w:rsidP="00747F81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analiza odnosa “broj </w:t>
      </w:r>
      <w:r w:rsidR="007B472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sudionika</w:t>
      </w:r>
      <w:r w:rsidRPr="0021204D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ostvarena ušteda”.</w:t>
      </w:r>
    </w:p>
    <w:p w14:paraId="67D2777C" w14:textId="2D49EB9F" w:rsidR="00640874" w:rsidRPr="00812A91" w:rsidRDefault="00640874" w:rsidP="00A918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7. Mjere za unapređenje konkurencije uz primjere iz prakse</w:t>
      </w:r>
    </w:p>
    <w:p w14:paraId="103ECED4" w14:textId="27CFC35B" w:rsidR="00640874" w:rsidRPr="00640874" w:rsidRDefault="00640874" w:rsidP="00BC6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Na osnovu podataka za 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razdoblje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2022–2024.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uočenih slabosti (nizak broj ponuda, visok udio single-bid postupaka, visoka koncentracija, česta upotreba PBO i 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izravnog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sporazuma, slab razvoj centraliziranih nabav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), predlaže se set konkretnih mjera koje se mogu operacionalizovati kroz podzakonske akte, smjernice i praksu ugovornih 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54915B61" w14:textId="4427D6DB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.1. S</w:t>
      </w:r>
      <w:r w:rsidR="000062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ustavno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praćenje postupaka sa jednom ponudom</w:t>
      </w:r>
    </w:p>
    <w:p w14:paraId="676B7333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Mjera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02F5900" w14:textId="77777777" w:rsidR="00640874" w:rsidRPr="00640874" w:rsidRDefault="00640874" w:rsidP="00747F8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Uvesti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obavezno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označavanje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automatsko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statističko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praćenje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svih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postupaka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primljena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samo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jedna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gram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single-bid</w:t>
      </w:r>
      <w:proofErr w:type="gram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), po:</w:t>
      </w:r>
    </w:p>
    <w:p w14:paraId="537616F0" w14:textId="617C371F" w:rsidR="00640874" w:rsidRPr="00640874" w:rsidRDefault="00640874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ugovornom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06245">
        <w:rPr>
          <w:rFonts w:ascii="Times New Roman" w:eastAsia="Times New Roman" w:hAnsi="Times New Roman" w:cs="Times New Roman"/>
          <w:kern w:val="0"/>
          <w14:ligatures w14:val="none"/>
        </w:rPr>
        <w:t>tijelu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45AC908" w14:textId="77777777" w:rsidR="00640874" w:rsidRPr="00640874" w:rsidRDefault="00640874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9DF1B8F" w14:textId="77777777" w:rsidR="00640874" w:rsidRPr="00640874" w:rsidRDefault="00640874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vrijednosnom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razredu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F312D44" w14:textId="77777777" w:rsidR="00640874" w:rsidRPr="00640874" w:rsidRDefault="00640874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sektoru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radovi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robe,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zdravstvo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komunalije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itd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.).</w:t>
      </w:r>
    </w:p>
    <w:p w14:paraId="7CA26E41" w14:textId="196E33AD" w:rsidR="00640874" w:rsidRPr="00640874" w:rsidRDefault="00640874" w:rsidP="00747F8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Ugovorn</w:t>
      </w:r>
      <w:r w:rsidR="00006245">
        <w:rPr>
          <w:rFonts w:ascii="Times New Roman" w:eastAsia="Times New Roman" w:hAnsi="Times New Roman" w:cs="Times New Roman"/>
          <w:kern w:val="0"/>
          <w14:ligatures w14:val="none"/>
        </w:rPr>
        <w:t>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06245">
        <w:rPr>
          <w:rFonts w:ascii="Times New Roman" w:eastAsia="Times New Roman" w:hAnsi="Times New Roman" w:cs="Times New Roman"/>
          <w:kern w:val="0"/>
          <w14:ligatures w14:val="none"/>
        </w:rPr>
        <w:t>tijelo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kod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kojih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udio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single-bid</w:t>
      </w:r>
      <w:proofErr w:type="gram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postupaka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iznad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godišnjeg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prosjeka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="000062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ustava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npr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10–15 p.p.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iznad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prosjeka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dužni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da:</w:t>
      </w:r>
    </w:p>
    <w:p w14:paraId="7E6CAAAC" w14:textId="77777777" w:rsidR="00640874" w:rsidRPr="00640874" w:rsidRDefault="00640874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izrade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internu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analizu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uzroka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specifikacije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rokovi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uslovi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29DC7A74" w14:textId="026024B3" w:rsidR="00640874" w:rsidRPr="00640874" w:rsidRDefault="00640874" w:rsidP="00747F81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plan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korektivnih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mjera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izmjene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006245">
        <w:rPr>
          <w:rFonts w:ascii="Times New Roman" w:eastAsia="Times New Roman" w:hAnsi="Times New Roman" w:cs="Times New Roman"/>
          <w:kern w:val="0"/>
          <w14:ligatures w14:val="none"/>
        </w:rPr>
        <w:t>vjeta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duži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rokovi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tržišno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savjetovanje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A527243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loše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7F617B5" w14:textId="77777777" w:rsidR="00640874" w:rsidRPr="00640874" w:rsidRDefault="00640874" w:rsidP="00747F8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Općina koja u kontinuitetu ima </w:t>
      </w: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70–80% postupaka sa jednom ponudom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 radovima, pri čemu su:</w:t>
      </w:r>
    </w:p>
    <w:p w14:paraId="56F84A67" w14:textId="77777777" w:rsidR="00640874" w:rsidRPr="00640874" w:rsidRDefault="00640874" w:rsidP="00747F8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rokovi za dostavu ponuda vrlo kratki,</w:t>
      </w:r>
    </w:p>
    <w:p w14:paraId="0E4B2E7B" w14:textId="77777777" w:rsidR="00640874" w:rsidRPr="00640874" w:rsidRDefault="00640874" w:rsidP="00747F8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tehničke specifikacije preuzete od jednog proizvođača,</w:t>
      </w:r>
    </w:p>
    <w:p w14:paraId="7542EF16" w14:textId="77777777" w:rsidR="00640874" w:rsidRPr="00640874" w:rsidRDefault="00640874" w:rsidP="00747F81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procijenjene vrijednosti neusklađene s rastom cijena.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>Rezultat: uvijek se javlja ista 1–2 firme, cijene su visoke, a tržište zatvoreno za nove učesnike.</w:t>
      </w:r>
    </w:p>
    <w:p w14:paraId="23DB06FF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A81C9C" w14:textId="41B0F329" w:rsidR="00640874" w:rsidRPr="001F2F7B" w:rsidRDefault="00640874" w:rsidP="00747F8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Ugovorn</w:t>
      </w:r>
      <w:r w:rsidR="002426BB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2426BB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tijelo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koji je, nakon što je utvrdio da ima veliki udio single-bid postupaka:</w:t>
      </w:r>
    </w:p>
    <w:p w14:paraId="605E5A72" w14:textId="77777777" w:rsidR="00640874" w:rsidRPr="00640874" w:rsidRDefault="00640874" w:rsidP="00747F81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produžio rokove za dostavu ponuda sa npr. 10 na 25 dana,</w:t>
      </w:r>
    </w:p>
    <w:p w14:paraId="1EC0B616" w14:textId="637315D4" w:rsidR="00640874" w:rsidRPr="00640874" w:rsidRDefault="00640874" w:rsidP="00747F81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organiz</w:t>
      </w:r>
      <w:r w:rsidR="002426B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irano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javno tržišno savjetovanje prije objave većih tendera,</w:t>
      </w:r>
    </w:p>
    <w:p w14:paraId="62162855" w14:textId="51195B21" w:rsidR="00640874" w:rsidRPr="00640874" w:rsidRDefault="00640874" w:rsidP="00747F81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pojednostavio kvalifikaci</w:t>
      </w:r>
      <w:r w:rsidR="002426B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j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ske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vjete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(smanjio traženi promet, broj referenci, o</w:t>
      </w:r>
      <w:r w:rsidR="00E760F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pseg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garancija).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>Rezultat: broj ponuda po postupku porastao sa 1–2 na 3–4, cijene su niže, a broj MSP ponu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veći.</w:t>
      </w:r>
    </w:p>
    <w:p w14:paraId="07162384" w14:textId="77777777" w:rsidR="00640874" w:rsidRPr="00640874" w:rsidRDefault="004F4BCE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941A88">
          <v:rect id="_x0000_i1056" style="width:0;height:1.5pt" o:hralign="center" o:hrstd="t" o:hr="t" fillcolor="#a0a0a0" stroked="f"/>
        </w:pict>
      </w:r>
    </w:p>
    <w:p w14:paraId="775D423C" w14:textId="29217788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.2. Ograničavanje i stroža kontrola pregovaračkog postupka bez objave (PBO)</w:t>
      </w:r>
    </w:p>
    <w:p w14:paraId="4FC2FC58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Mjera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657A240" w14:textId="77777777" w:rsidR="00640874" w:rsidRPr="00640874" w:rsidRDefault="00640874" w:rsidP="00747F8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Pojasniti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suziti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razloge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primjenu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PBO u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podzakonskim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aktima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smjernicama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hitnost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tehničke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ekskluzive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dodatni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radovi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zaštita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intelektualne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svojine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AF82267" w14:textId="77777777" w:rsidR="00640874" w:rsidRPr="00640874" w:rsidRDefault="00640874" w:rsidP="00747F8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Uvesti obavezu </w:t>
      </w: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detaljnog pisanog obrazloženja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:</w:t>
      </w:r>
    </w:p>
    <w:p w14:paraId="4C4CA940" w14:textId="77777777" w:rsidR="00640874" w:rsidRPr="00640874" w:rsidRDefault="00640874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zašto nije bilo moguće provesti otvoreni/ograničeni postupak,</w:t>
      </w:r>
    </w:p>
    <w:p w14:paraId="3405E261" w14:textId="26EE8351" w:rsidR="00640874" w:rsidRPr="00640874" w:rsidRDefault="00640874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koje je alternative ugovorn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tijelo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razm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otrio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</w:t>
      </w:r>
    </w:p>
    <w:p w14:paraId="60CA6CD1" w14:textId="33C3125B" w:rsidR="00640874" w:rsidRPr="00640874" w:rsidRDefault="00640874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zašto se ocjenjuje da tržište nema više potencijalnih ponu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F64C34E" w14:textId="77777777" w:rsidR="00640874" w:rsidRPr="00640874" w:rsidRDefault="00640874" w:rsidP="00747F8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Redovno objavljivati agregirane izvještaje o primjeni PBO po:</w:t>
      </w:r>
    </w:p>
    <w:p w14:paraId="27A550FE" w14:textId="77777777" w:rsidR="00640874" w:rsidRPr="00640874" w:rsidRDefault="00640874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entitetima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C20E8F5" w14:textId="77777777" w:rsidR="00640874" w:rsidRPr="00640874" w:rsidRDefault="00640874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sektorima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595B9D2" w14:textId="6BF278D1" w:rsidR="00640874" w:rsidRPr="00640874" w:rsidRDefault="00640874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ugovornim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06245">
        <w:rPr>
          <w:rFonts w:ascii="Times New Roman" w:eastAsia="Times New Roman" w:hAnsi="Times New Roman" w:cs="Times New Roman"/>
          <w:kern w:val="0"/>
          <w14:ligatures w14:val="none"/>
        </w:rPr>
        <w:t>tijelima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C069DAF" w14:textId="77777777" w:rsidR="00640874" w:rsidRPr="00640874" w:rsidRDefault="00640874" w:rsidP="00747F81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vrijednosnim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razredima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DC07BB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loše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82183DF" w14:textId="77777777" w:rsidR="00640874" w:rsidRPr="00640874" w:rsidRDefault="00640874" w:rsidP="00747F81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Korištenje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PBO za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rekonstrukciju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lokalnog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puta</w:t>
      </w: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uz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obrazloženje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hitnosti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”,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iako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8CCF446" w14:textId="77777777" w:rsidR="00640874" w:rsidRPr="00640874" w:rsidRDefault="00640874" w:rsidP="00747F81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investicija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traje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mjesecima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9C421B6" w14:textId="77777777" w:rsidR="00640874" w:rsidRPr="00640874" w:rsidRDefault="00640874" w:rsidP="00747F81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nema dokaza o stvarnoj nepredvidivoj okolnosti,</w:t>
      </w:r>
    </w:p>
    <w:p w14:paraId="144DF566" w14:textId="6088C8B4" w:rsidR="00640874" w:rsidRPr="00640874" w:rsidRDefault="00640874" w:rsidP="00747F81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na tržištu postoji više građevinskih 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tvrtki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koje bi mogle konkuri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rati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DCBF8F7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51AC3F7" w14:textId="77777777" w:rsidR="00640874" w:rsidRPr="00640874" w:rsidRDefault="00640874" w:rsidP="00747F8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PBO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primijenjen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za:</w:t>
      </w:r>
    </w:p>
    <w:p w14:paraId="4EDCC953" w14:textId="27B65796" w:rsidR="00640874" w:rsidRPr="00640874" w:rsidRDefault="00006245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abav</w:t>
      </w: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specifične</w:t>
      </w:r>
      <w:proofErr w:type="spellEnd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medicinske</w:t>
      </w:r>
      <w:proofErr w:type="spellEnd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opreme</w:t>
      </w:r>
      <w:proofErr w:type="spellEnd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proofErr w:type="spellEnd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zaštićena</w:t>
      </w:r>
      <w:proofErr w:type="spellEnd"/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pravima</w:t>
      </w:r>
      <w:proofErr w:type="spellEnd"/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intelektualne</w:t>
      </w:r>
      <w:proofErr w:type="spellEnd"/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640874"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svojine</w:t>
      </w:r>
      <w:proofErr w:type="spellEnd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72452E4" w14:textId="5F42A994" w:rsidR="00640874" w:rsidRPr="00640874" w:rsidRDefault="00640874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dodatne radove na već ugovorenom objektu, strogo tehnički povezane s prvobitnim ugovorom.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Ugovorn</w:t>
      </w:r>
      <w:r w:rsidR="00006245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06245">
        <w:rPr>
          <w:rFonts w:ascii="Times New Roman" w:eastAsia="Times New Roman" w:hAnsi="Times New Roman" w:cs="Times New Roman"/>
          <w:kern w:val="0"/>
          <w14:ligatures w14:val="none"/>
        </w:rPr>
        <w:t>tijela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78CB139" w14:textId="77777777" w:rsidR="00640874" w:rsidRPr="00640874" w:rsidRDefault="00640874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prilaže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analizu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tržišta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dokazima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drugi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dobavljači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mogu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isporučiti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kompatibilnu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opremu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B779A9F" w14:textId="77777777" w:rsidR="00640874" w:rsidRPr="00640874" w:rsidRDefault="00640874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jasno označava razloge u odluci,</w:t>
      </w:r>
    </w:p>
    <w:p w14:paraId="0673811C" w14:textId="3A14E161" w:rsidR="00640874" w:rsidRPr="00640874" w:rsidRDefault="00640874" w:rsidP="00747F81">
      <w:pPr>
        <w:numPr>
          <w:ilvl w:val="1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objavljuje informacije transparentno u s</w:t>
      </w:r>
      <w:r w:rsidR="0000624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ustavu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82CBD41" w14:textId="77777777" w:rsidR="00640874" w:rsidRPr="00640874" w:rsidRDefault="004F4BCE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CAAD65">
          <v:rect id="_x0000_i1057" style="width:0;height:1.5pt" o:hralign="center" o:hrstd="t" o:hr="t" fillcolor="#a0a0a0" stroked="f"/>
        </w:pict>
      </w:r>
    </w:p>
    <w:p w14:paraId="0765354B" w14:textId="032B2563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.3. Kontrola </w:t>
      </w:r>
      <w:r w:rsidR="000062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izravnog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 xml:space="preserve"> sporazuma i sprječavanje “usitnjavanja”</w:t>
      </w:r>
    </w:p>
    <w:p w14:paraId="50BA2715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Mjera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07A2A3F" w14:textId="51AEF54D" w:rsidR="00640874" w:rsidRPr="00640874" w:rsidRDefault="00640874" w:rsidP="00747F8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Uvesti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automatizovano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praćenje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kumulativnih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41E8F">
        <w:rPr>
          <w:rFonts w:ascii="Times New Roman" w:eastAsia="Times New Roman" w:hAnsi="Times New Roman" w:cs="Times New Roman"/>
          <w:kern w:val="0"/>
          <w14:ligatures w14:val="none"/>
        </w:rPr>
        <w:t>izravnih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sporazuma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9B36FA7" w14:textId="77777777" w:rsidR="00640874" w:rsidRPr="00640874" w:rsidRDefault="00640874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po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dobavljaču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3CF3F6C" w14:textId="26DFE58E" w:rsidR="00640874" w:rsidRPr="00640874" w:rsidRDefault="00640874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po </w:t>
      </w:r>
      <w:proofErr w:type="spellStart"/>
      <w:r w:rsidR="00006245">
        <w:rPr>
          <w:rFonts w:ascii="Times New Roman" w:eastAsia="Times New Roman" w:hAnsi="Times New Roman" w:cs="Times New Roman"/>
          <w:kern w:val="0"/>
          <w14:ligatures w14:val="none"/>
        </w:rPr>
        <w:t>proračunskij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poziciji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0C0DF56" w14:textId="77777777" w:rsidR="00640874" w:rsidRPr="00640874" w:rsidRDefault="00640874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po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robe/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244BC8F" w14:textId="0E59EE69" w:rsidR="00640874" w:rsidRPr="00640874" w:rsidRDefault="00640874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po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ugovornom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06245">
        <w:rPr>
          <w:rFonts w:ascii="Times New Roman" w:eastAsia="Times New Roman" w:hAnsi="Times New Roman" w:cs="Times New Roman"/>
          <w:kern w:val="0"/>
          <w14:ligatures w14:val="none"/>
        </w:rPr>
        <w:t>tijelu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029D61" w14:textId="77155CE6" w:rsidR="00640874" w:rsidRPr="00640874" w:rsidRDefault="00640874" w:rsidP="00747F8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Defini</w:t>
      </w:r>
      <w:r w:rsidR="00006245">
        <w:rPr>
          <w:rFonts w:ascii="Times New Roman" w:eastAsia="Times New Roman" w:hAnsi="Times New Roman" w:cs="Times New Roman"/>
          <w:kern w:val="0"/>
          <w14:ligatures w14:val="none"/>
        </w:rPr>
        <w:t>rati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jasna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pravila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prepoznavanje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usitnjavanja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</w:t>
      </w:r>
      <w:r w:rsidR="000062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npr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više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41E8F">
        <w:rPr>
          <w:rFonts w:ascii="Times New Roman" w:eastAsia="Times New Roman" w:hAnsi="Times New Roman" w:cs="Times New Roman"/>
          <w:kern w:val="0"/>
          <w14:ligatures w14:val="none"/>
        </w:rPr>
        <w:t>izrav</w:t>
      </w:r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sporazuma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istim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dobavljačem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istu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vrstu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robe u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kratkom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roku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495C6D93" w14:textId="602D9280" w:rsidR="00640874" w:rsidRPr="00640874" w:rsidRDefault="00640874" w:rsidP="00747F81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Obavezati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06245">
        <w:rPr>
          <w:rFonts w:ascii="Times New Roman" w:eastAsia="Times New Roman" w:hAnsi="Times New Roman" w:cs="Times New Roman"/>
          <w:kern w:val="0"/>
          <w14:ligatures w14:val="none"/>
        </w:rPr>
        <w:t>tijela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da,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kada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pređu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određeni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prag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istovrsne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41E8F">
        <w:rPr>
          <w:rFonts w:ascii="Times New Roman" w:eastAsia="Times New Roman" w:hAnsi="Times New Roman" w:cs="Times New Roman"/>
          <w:kern w:val="0"/>
          <w14:ligatures w14:val="none"/>
        </w:rPr>
        <w:t>izrav</w:t>
      </w:r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sporazum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pređu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E48A59" w14:textId="77777777" w:rsidR="00640874" w:rsidRPr="00640874" w:rsidRDefault="00640874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konkurentski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zahtjev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F9C7264" w14:textId="77777777" w:rsidR="00640874" w:rsidRPr="00640874" w:rsidRDefault="00640874" w:rsidP="00747F8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otvoreni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postupak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DD3C1F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loše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5584A47" w14:textId="5D2C0940" w:rsidR="00640874" w:rsidRPr="00640874" w:rsidRDefault="00640874" w:rsidP="00747F8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Jedan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ugovorn</w:t>
      </w:r>
      <w:r w:rsidR="00006245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06245">
        <w:rPr>
          <w:rFonts w:ascii="Times New Roman" w:eastAsia="Times New Roman" w:hAnsi="Times New Roman" w:cs="Times New Roman"/>
          <w:kern w:val="0"/>
          <w14:ligatures w14:val="none"/>
        </w:rPr>
        <w:t>tijela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tokom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godine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zaključuje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50+ </w:t>
      </w:r>
      <w:proofErr w:type="spellStart"/>
      <w:r w:rsidR="00541E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izrav</w:t>
      </w:r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nih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sporazuma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="00006245">
        <w:rPr>
          <w:rFonts w:ascii="Times New Roman" w:eastAsia="Times New Roman" w:hAnsi="Times New Roman" w:cs="Times New Roman"/>
          <w:kern w:val="0"/>
          <w14:ligatures w14:val="none"/>
        </w:rPr>
        <w:t>uredski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materijal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istim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dobavljačem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svaki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ispod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praga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bez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ijednog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konkurentskog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4087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Rezultat: nema provjere cijena na tržištu, s</w:t>
      </w:r>
      <w:r w:rsidR="007678E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ustavom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se zaobilaze konkurentni postupci.</w:t>
      </w:r>
    </w:p>
    <w:p w14:paraId="4726578A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4F9297E" w14:textId="7AEDC6B1" w:rsidR="00640874" w:rsidRPr="00640874" w:rsidRDefault="007678E1" w:rsidP="00747F8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Tijelo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prepoznaje da su mu potrebe za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uredskim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materijalom cijele godine kumulativno visoke i:</w:t>
      </w:r>
    </w:p>
    <w:p w14:paraId="05B990E2" w14:textId="07FE9223" w:rsidR="00640874" w:rsidRPr="00640874" w:rsidRDefault="00640874" w:rsidP="00747F8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umjesto više </w:t>
      </w:r>
      <w:r w:rsidR="00541E8F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nih sporazuma provodi jedan </w:t>
      </w: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otvoreni postupak sa lotovima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ili konkurentski zahtjev,</w:t>
      </w:r>
    </w:p>
    <w:p w14:paraId="3AF7D3DE" w14:textId="77777777" w:rsidR="00640874" w:rsidRPr="00640874" w:rsidRDefault="00640874" w:rsidP="00747F81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sklapa okvirni sporazum sa jednim ili više dobavljača.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Rezultat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više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niže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cijene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transparentniji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proces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87B41A" w14:textId="77777777" w:rsidR="00640874" w:rsidRPr="00640874" w:rsidRDefault="004F4BCE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6ADB4C">
          <v:rect id="_x0000_i1058" style="width:0;height:1.5pt" o:hralign="center" o:hrstd="t" o:hr="t" fillcolor="#a0a0a0" stroked="f"/>
        </w:pict>
      </w:r>
    </w:p>
    <w:p w14:paraId="01153C17" w14:textId="25D0DB12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.4. Aktivna promocija podjele na lotove</w:t>
      </w:r>
    </w:p>
    <w:p w14:paraId="26AEEE63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Mjera:</w:t>
      </w:r>
    </w:p>
    <w:p w14:paraId="1FFC1001" w14:textId="77777777" w:rsidR="00640874" w:rsidRPr="00640874" w:rsidRDefault="00640874" w:rsidP="00747F8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Propisati obavezno razmatranje podjele na lotove za:</w:t>
      </w:r>
    </w:p>
    <w:p w14:paraId="23FEB2A5" w14:textId="0EEC63DF" w:rsidR="00640874" w:rsidRPr="00640874" w:rsidRDefault="00640874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sve nabave iznad određenog iznosa,</w:t>
      </w:r>
    </w:p>
    <w:p w14:paraId="7D182F94" w14:textId="77AC7EF5" w:rsidR="00640874" w:rsidRPr="00640874" w:rsidRDefault="00640874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sektore gdje MSP imaju kapacitete (npr. </w:t>
      </w:r>
      <w:r w:rsidR="007678E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uredski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materijal, manji građevinski radovi, IT oprema).</w:t>
      </w:r>
    </w:p>
    <w:p w14:paraId="23E63BD6" w14:textId="44FD63F1" w:rsidR="00640874" w:rsidRPr="00640874" w:rsidRDefault="00640874" w:rsidP="00747F8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 dokumentaciji za nabav</w:t>
      </w:r>
      <w:r w:rsidR="007678E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tražiti od ugovornog </w:t>
      </w:r>
      <w:r w:rsidR="007678E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da:</w:t>
      </w:r>
    </w:p>
    <w:p w14:paraId="529254BC" w14:textId="77777777" w:rsidR="00640874" w:rsidRPr="00640874" w:rsidRDefault="00640874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obrazloži zašto je izvršio podjelu na lotove, ili</w:t>
      </w:r>
    </w:p>
    <w:p w14:paraId="52C9A1E3" w14:textId="77777777" w:rsidR="00640874" w:rsidRPr="00640874" w:rsidRDefault="00640874" w:rsidP="00747F8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zašto </w:t>
      </w: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nije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izvršio podjelu, iako je vrijednost visoka.</w:t>
      </w:r>
    </w:p>
    <w:p w14:paraId="1C546965" w14:textId="77777777" w:rsidR="00640874" w:rsidRPr="00640874" w:rsidRDefault="00640874" w:rsidP="00747F8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Izraditi smjernice za kreiranje lotova (geografski, tehnički, funkcionalni) usmjerene ka uključivanju MSP.</w:t>
      </w:r>
    </w:p>
    <w:p w14:paraId="6D5BF8B1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loše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C60968F" w14:textId="77777777" w:rsidR="00640874" w:rsidRPr="00640874" w:rsidRDefault="00640874" w:rsidP="00747F8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Tender za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održavanje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putne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mreže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za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cijeli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kanton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raspisan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jedan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lot,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7CDA52" w14:textId="685BF93A" w:rsidR="00640874" w:rsidRPr="00640874" w:rsidRDefault="00640874" w:rsidP="00747F81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ogromnim zahtjevima za mehanizaciju, promet i referencama.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>Posljedica: javlja se 1 veliki ponu</w:t>
      </w:r>
      <w:r w:rsidR="007678E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mali izvođači su isključeni.</w:t>
      </w:r>
    </w:p>
    <w:p w14:paraId="70D044B1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0E83064" w14:textId="54C9D728" w:rsidR="00640874" w:rsidRPr="00640874" w:rsidRDefault="00640874" w:rsidP="00747F8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Nabava istih usluga podijeljena na </w:t>
      </w: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više geografskih lotova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(npr. po općinama ili regijama):</w:t>
      </w:r>
    </w:p>
    <w:p w14:paraId="669529FE" w14:textId="77777777" w:rsidR="00640874" w:rsidRPr="00640874" w:rsidRDefault="00640874" w:rsidP="00747F8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LOT 1 –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sjeverni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dio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378E1ED" w14:textId="77777777" w:rsidR="00640874" w:rsidRPr="00640874" w:rsidRDefault="00640874" w:rsidP="00747F8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LOT 2 –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centralni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dio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F7FE836" w14:textId="2CCBBE6A" w:rsidR="00640874" w:rsidRPr="00640874" w:rsidRDefault="00640874" w:rsidP="00747F8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LOT 3 –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južni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dio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40874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Rezultat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više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MSP se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javlja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pojedine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lotove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kombinacija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većih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manjih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ponu</w:t>
      </w:r>
      <w:r w:rsidR="007678E1">
        <w:rPr>
          <w:rFonts w:ascii="Times New Roman" w:eastAsia="Times New Roman" w:hAnsi="Times New Roman" w:cs="Times New Roman"/>
          <w:kern w:val="0"/>
          <w14:ligatures w14:val="none"/>
        </w:rPr>
        <w:t>ditelja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više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po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lotu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viši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kvalitet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niže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cijene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FC3269" w14:textId="77777777" w:rsidR="00640874" w:rsidRPr="00640874" w:rsidRDefault="004F4BCE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36BEA1E">
          <v:rect id="_x0000_i1059" style="width:0;height:1.5pt" o:hralign="center" o:hrstd="t" o:hr="t" fillcolor="#a0a0a0" stroked="f"/>
        </w:pict>
      </w:r>
    </w:p>
    <w:p w14:paraId="7E26DB54" w14:textId="6D2979FF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.5. Jačanje centraliziranih i zajedničkih naba</w:t>
      </w:r>
      <w:r w:rsidR="007678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va</w:t>
      </w:r>
    </w:p>
    <w:p w14:paraId="33B92904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Mjera:</w:t>
      </w:r>
    </w:p>
    <w:p w14:paraId="61674FE6" w14:textId="77777777" w:rsidR="00640874" w:rsidRPr="00640874" w:rsidRDefault="00640874" w:rsidP="00747F8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Identifikovati kategorije gdje je centralizacija najlogičnija:</w:t>
      </w:r>
    </w:p>
    <w:p w14:paraId="53711567" w14:textId="77777777" w:rsidR="00640874" w:rsidRPr="00640874" w:rsidRDefault="00640874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gorivo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energenti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44EEB02" w14:textId="74C68478" w:rsidR="00640874" w:rsidRPr="00640874" w:rsidRDefault="002426BB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uredski</w:t>
      </w:r>
      <w:proofErr w:type="spellEnd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materijal</w:t>
      </w:r>
      <w:proofErr w:type="spellEnd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29A765B" w14:textId="77777777" w:rsidR="00640874" w:rsidRPr="00640874" w:rsidRDefault="00640874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osnovna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IT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oprema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ABB579B" w14:textId="77777777" w:rsidR="00640874" w:rsidRPr="00640874" w:rsidRDefault="00640874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standardizovani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medicinski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potrošni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materijal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1C80EB" w14:textId="77777777" w:rsidR="00640874" w:rsidRPr="00640874" w:rsidRDefault="00640874" w:rsidP="00747F8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Uspostaviti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8A8645" w14:textId="71E453E6" w:rsidR="00640874" w:rsidRPr="00640874" w:rsidRDefault="00640874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centralne nabavne jedinice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(na </w:t>
      </w:r>
      <w:r w:rsidR="0052763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razini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države, entiteta, </w:t>
      </w:r>
      <w:r w:rsidR="007678E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županijama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ili grupa općina),</w:t>
      </w:r>
    </w:p>
    <w:p w14:paraId="0D4DE92D" w14:textId="39725A30" w:rsidR="00640874" w:rsidRPr="00640874" w:rsidRDefault="00640874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modele zajedničkih nabav</w:t>
      </w:r>
      <w:r w:rsidR="007678E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među općinama/gradovima (memorandumi o s</w:t>
      </w:r>
      <w:r w:rsidR="007678E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radnji, sporazumi).</w:t>
      </w:r>
    </w:p>
    <w:p w14:paraId="00F70A3D" w14:textId="77777777" w:rsidR="00640874" w:rsidRPr="00640874" w:rsidRDefault="00640874" w:rsidP="00747F8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Planirati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pilot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projekte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050840E" w14:textId="7E2A3E1A" w:rsidR="00640874" w:rsidRPr="00640874" w:rsidRDefault="00640874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npr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10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općina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zajednički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nabavlja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gorivo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678E1">
        <w:rPr>
          <w:rFonts w:ascii="Times New Roman" w:eastAsia="Times New Roman" w:hAnsi="Times New Roman" w:cs="Times New Roman"/>
          <w:kern w:val="0"/>
          <w14:ligatures w14:val="none"/>
        </w:rPr>
        <w:t>uredski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materijal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4BE6C1E9" w14:textId="6A57DFA9" w:rsidR="00640874" w:rsidRPr="00640874" w:rsidRDefault="00640874" w:rsidP="00747F81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nakon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pilot faze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evaluirati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41E8F">
        <w:rPr>
          <w:rFonts w:ascii="Times New Roman" w:eastAsia="Times New Roman" w:hAnsi="Times New Roman" w:cs="Times New Roman"/>
          <w:kern w:val="0"/>
          <w14:ligatures w14:val="none"/>
        </w:rPr>
        <w:t>učinak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cijene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uštede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kvalitet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EA9EF28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loše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848BC15" w14:textId="3B572F4C" w:rsidR="00640874" w:rsidRPr="00640874" w:rsidRDefault="00640874" w:rsidP="00747F8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Svaka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općina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zasebno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provodi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nabav</w:t>
      </w:r>
      <w:r w:rsidR="007678E1">
        <w:rPr>
          <w:rFonts w:ascii="Times New Roman" w:eastAsia="Times New Roman" w:hAnsi="Times New Roman" w:cs="Times New Roman"/>
          <w:kern w:val="0"/>
          <w14:ligatures w14:val="none"/>
        </w:rPr>
        <w:t>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goriva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malim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količinama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541E8F">
        <w:rPr>
          <w:rFonts w:ascii="Times New Roman" w:eastAsia="Times New Roman" w:hAnsi="Times New Roman" w:cs="Times New Roman"/>
          <w:kern w:val="0"/>
          <w14:ligatures w14:val="none"/>
        </w:rPr>
        <w:t>izrav</w:t>
      </w:r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nim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sporazumima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mini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tenderima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često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jednim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lokalnim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dobavljačem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40874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Rezultat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visoke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jedinične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cijene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mala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transparentnost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slab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interes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šireg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tržišta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64307E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3A53AD3" w14:textId="3E64F827" w:rsidR="00640874" w:rsidRPr="00640874" w:rsidRDefault="00640874" w:rsidP="00747F8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Grupa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općina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kantonalno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ministarstvo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organiz</w:t>
      </w:r>
      <w:r w:rsidR="00CB3593">
        <w:rPr>
          <w:rFonts w:ascii="Times New Roman" w:eastAsia="Times New Roman" w:hAnsi="Times New Roman" w:cs="Times New Roman"/>
          <w:kern w:val="0"/>
          <w14:ligatures w14:val="none"/>
        </w:rPr>
        <w:t>iraju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jedan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zajednički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otvoreni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postupak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gorivo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4CE7D74" w14:textId="77777777" w:rsidR="00640874" w:rsidRPr="00640874" w:rsidRDefault="00640874" w:rsidP="00747F8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količina je veća, tender atraktivniji,</w:t>
      </w:r>
    </w:p>
    <w:p w14:paraId="70AFABF2" w14:textId="2DC5D8F6" w:rsidR="00640874" w:rsidRPr="00640874" w:rsidRDefault="00640874" w:rsidP="00747F8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javlja se veći broj ponu</w:t>
      </w:r>
      <w:r w:rsidR="007678E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uključujući i veće distributere,</w:t>
      </w:r>
    </w:p>
    <w:p w14:paraId="1E6456D5" w14:textId="4BF937F9" w:rsidR="00640874" w:rsidRPr="00640874" w:rsidRDefault="00640874" w:rsidP="00747F8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postižu se bolje cijene i standardizuju u</w:t>
      </w:r>
      <w:r w:rsidR="002426B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vjeti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0A63DCDC" w14:textId="77777777" w:rsidR="00640874" w:rsidRPr="00640874" w:rsidRDefault="004F4BCE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01763D">
          <v:rect id="_x0000_i1060" style="width:0;height:1.5pt" o:hralign="center" o:hrstd="t" o:hr="t" fillcolor="#a0a0a0" stroked="f"/>
        </w:pict>
      </w:r>
    </w:p>
    <w:p w14:paraId="341C8F3B" w14:textId="2B3CD056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.6. Smanjenje administrativnih barijera i prilagođavanje tehničkih specifikacija</w:t>
      </w:r>
    </w:p>
    <w:p w14:paraId="46AFA3D3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Mjera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B2CA3E0" w14:textId="77777777" w:rsidR="00640874" w:rsidRPr="00640874" w:rsidRDefault="00640874" w:rsidP="00747F8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Redovno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analizirati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A97BA7D" w14:textId="77777777" w:rsidR="00640874" w:rsidRPr="00640874" w:rsidRDefault="00640874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minimalno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traženi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godišnji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promet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9DA3FC1" w14:textId="77777777" w:rsidR="00640874" w:rsidRPr="00640874" w:rsidRDefault="00640874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referenci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4CC89A3" w14:textId="77777777" w:rsidR="00640874" w:rsidRPr="00640874" w:rsidRDefault="00640874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visinu garancija za ozbiljnost ponude i izvršenje ugovora.</w:t>
      </w:r>
    </w:p>
    <w:p w14:paraId="05C8E060" w14:textId="77777777" w:rsidR="00640874" w:rsidRPr="00640874" w:rsidRDefault="00640874" w:rsidP="00747F8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Uvesti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princip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proporcionalnosti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547229" w14:textId="6510646B" w:rsidR="00640874" w:rsidRPr="00640874" w:rsidRDefault="00640874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što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manja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→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niži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7678E1">
        <w:rPr>
          <w:rFonts w:ascii="Times New Roman" w:eastAsia="Times New Roman" w:hAnsi="Times New Roman" w:cs="Times New Roman"/>
          <w:kern w:val="0"/>
          <w14:ligatures w14:val="none"/>
        </w:rPr>
        <w:t>vjeti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0AC339B" w14:textId="7B0FA032" w:rsidR="00640874" w:rsidRPr="00640874" w:rsidRDefault="00640874" w:rsidP="00747F8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7678E1">
        <w:rPr>
          <w:rFonts w:ascii="Times New Roman" w:eastAsia="Times New Roman" w:hAnsi="Times New Roman" w:cs="Times New Roman"/>
          <w:kern w:val="0"/>
          <w14:ligatures w14:val="none"/>
        </w:rPr>
        <w:t>vjeti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ne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smiju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MSP bez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stvarne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potrebe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44C1AA" w14:textId="704B7D07" w:rsidR="00640874" w:rsidRPr="00640874" w:rsidRDefault="00640874" w:rsidP="00747F8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Ograničiti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insistiranje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referencama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faktički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="007678E1">
        <w:rPr>
          <w:rFonts w:ascii="Times New Roman" w:eastAsia="Times New Roman" w:hAnsi="Times New Roman" w:cs="Times New Roman"/>
          <w:kern w:val="0"/>
          <w14:ligatures w14:val="none"/>
        </w:rPr>
        <w:t>ciljaju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jednog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ponu</w:t>
      </w:r>
      <w:r w:rsidR="007678E1">
        <w:rPr>
          <w:rFonts w:ascii="Times New Roman" w:eastAsia="Times New Roman" w:hAnsi="Times New Roman" w:cs="Times New Roman"/>
          <w:kern w:val="0"/>
          <w14:ligatures w14:val="none"/>
        </w:rPr>
        <w:t>ditelja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npr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striktno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geografski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vezana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iskustva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identične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slično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DC65013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loše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BFAE762" w14:textId="30FDADE4" w:rsidR="00640874" w:rsidRPr="00640874" w:rsidRDefault="00640874" w:rsidP="00747F8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Tender za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relativno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skromne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radove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npr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. 100–200 </w:t>
      </w:r>
      <w:proofErr w:type="spellStart"/>
      <w:r w:rsidR="008F6FD5">
        <w:rPr>
          <w:rFonts w:ascii="Times New Roman" w:eastAsia="Times New Roman" w:hAnsi="Times New Roman" w:cs="Times New Roman"/>
          <w:kern w:val="0"/>
          <w14:ligatures w14:val="none"/>
        </w:rPr>
        <w:t>tisuća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KM) koji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traži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8B6575" w14:textId="0F04C6E4" w:rsidR="00640874" w:rsidRPr="00640874" w:rsidRDefault="00640874" w:rsidP="00747F81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godišnji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promet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5–10 puta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veći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5BFFE97" w14:textId="77777777" w:rsidR="00640874" w:rsidRPr="00640874" w:rsidRDefault="00640874" w:rsidP="00747F81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veliki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sličnih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referenci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196AC77" w14:textId="620ED532" w:rsidR="00640874" w:rsidRPr="00640874" w:rsidRDefault="00640874" w:rsidP="00747F81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visoke iznose garancija.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>Posljedica: samo 1–2 velika ponu</w:t>
      </w:r>
      <w:r w:rsid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mogu ispuniti u</w:t>
      </w:r>
      <w:r w:rsid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vjete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C632141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1FF9426" w14:textId="4EA8B005" w:rsidR="00640874" w:rsidRPr="001F2F7B" w:rsidRDefault="00640874" w:rsidP="00747F8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Ugovorn</w:t>
      </w:r>
      <w:r w:rsidR="008F6FD5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8F6FD5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tijelo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za isti rang vrijednosti:</w:t>
      </w:r>
    </w:p>
    <w:p w14:paraId="74E37854" w14:textId="38757DAB" w:rsidR="00640874" w:rsidRPr="00640874" w:rsidRDefault="00640874" w:rsidP="00747F81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traži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promet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1–2 puta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veći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vrijednosti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58C188A" w14:textId="17F10D3B" w:rsidR="00640874" w:rsidRPr="00640874" w:rsidRDefault="00640874" w:rsidP="00747F81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dozvoljava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kombi</w:t>
      </w:r>
      <w:r w:rsidR="008F6FD5">
        <w:rPr>
          <w:rFonts w:ascii="Times New Roman" w:eastAsia="Times New Roman" w:hAnsi="Times New Roman" w:cs="Times New Roman"/>
          <w:kern w:val="0"/>
          <w14:ligatures w14:val="none"/>
        </w:rPr>
        <w:t>nirane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reference (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više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manjih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),</w:t>
      </w:r>
    </w:p>
    <w:p w14:paraId="7A9640DE" w14:textId="1315EC74" w:rsidR="00640874" w:rsidRPr="00640874" w:rsidRDefault="00640874" w:rsidP="00747F81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smanjuje iznose garancija na razumnu mjeru.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r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Rezultat: veći broj MSP se kvalif</w:t>
      </w:r>
      <w:r w:rsidR="008F6FD5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icira</w:t>
      </w:r>
      <w:r w:rsidRPr="0064087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i konkurencija raste.</w:t>
      </w:r>
    </w:p>
    <w:p w14:paraId="71438393" w14:textId="77777777" w:rsidR="00640874" w:rsidRPr="00640874" w:rsidRDefault="004F4BCE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921C704">
          <v:rect id="_x0000_i1061" style="width:0;height:1.5pt" o:hralign="center" o:hrstd="t" o:hr="t" fillcolor="#a0a0a0" stroked="f"/>
        </w:pict>
      </w:r>
    </w:p>
    <w:p w14:paraId="461B9337" w14:textId="6C34B526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.7. Pametna upotreba e-aukcija</w:t>
      </w:r>
    </w:p>
    <w:p w14:paraId="2AEB85B7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Mjera:</w:t>
      </w:r>
    </w:p>
    <w:p w14:paraId="28758411" w14:textId="77777777" w:rsidR="00640874" w:rsidRPr="00640874" w:rsidRDefault="00640874" w:rsidP="00747F8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Obavezno koristiti e-aukciju u:</w:t>
      </w:r>
    </w:p>
    <w:p w14:paraId="3F5837B3" w14:textId="0506CB3F" w:rsidR="00640874" w:rsidRPr="00640874" w:rsidRDefault="008F6FD5" w:rsidP="00747F81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standardiziranim nabavama roba i usluga</w:t>
      </w:r>
      <w:r w:rsidRP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(npr. </w:t>
      </w:r>
      <w:r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uredski</w:t>
      </w:r>
      <w:r w:rsidR="00640874"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materijal, toneri, osnovne potrošne robe),</w:t>
      </w:r>
    </w:p>
    <w:p w14:paraId="365D985B" w14:textId="4BA0F385" w:rsidR="00640874" w:rsidRPr="00640874" w:rsidRDefault="00640874" w:rsidP="00747F81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postupcima u kojima već ima </w:t>
      </w: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najmanje 2–3 val</w:t>
      </w:r>
      <w:r w:rsidR="008F6FD5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jane</w:t>
      </w: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ponude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0068790" w14:textId="77777777" w:rsidR="00640874" w:rsidRPr="00640874" w:rsidRDefault="00640874" w:rsidP="00747F81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Analizirati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odnos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8B4BE5" w14:textId="053D18D5" w:rsidR="00640874" w:rsidRPr="00640874" w:rsidRDefault="00640874" w:rsidP="00747F81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8F6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sudionika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e-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aukciji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vs.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ostvarena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ušteda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EB6CF4" w14:textId="56FB7EF7" w:rsidR="00640874" w:rsidRPr="00990EEB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Primjer loše prakse</w:t>
      </w:r>
      <w:r w:rsidR="00306E06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u </w:t>
      </w:r>
      <w:r w:rsidR="00990EEB"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zemljama u</w:t>
      </w:r>
      <w:r w:rsid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regi</w:t>
      </w:r>
      <w:r w:rsidR="008F6FD5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ji</w:t>
      </w:r>
      <w:r w:rsid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</w:t>
      </w:r>
    </w:p>
    <w:p w14:paraId="01BFA18A" w14:textId="666DD6E5" w:rsidR="00640874" w:rsidRPr="00640874" w:rsidRDefault="00640874" w:rsidP="00747F81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Ugovorn</w:t>
      </w:r>
      <w:r w:rsid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</w:t>
      </w:r>
      <w:r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tijelo</w:t>
      </w:r>
      <w:r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koristi e-aukciju u postupku gdje </w:t>
      </w:r>
      <w:r w:rsidRPr="00990EE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postoji samo jedna ispravna ponuda</w:t>
      </w:r>
      <w:r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  <w:r w:rsidRPr="00990EE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Rezultat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nema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stvarnog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nadmetanja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 e-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aukcija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samo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formalnost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A4D6E4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1D4C5AA" w14:textId="756FE8A0" w:rsidR="00640874" w:rsidRPr="001F2F7B" w:rsidRDefault="00640874" w:rsidP="00747F81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1F2F7B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Tender za nabavu </w:t>
      </w:r>
      <w:r w:rsidR="008F6FD5" w:rsidRPr="001F2F7B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uredskog</w:t>
      </w:r>
      <w:r w:rsidRPr="001F2F7B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materijala:</w:t>
      </w:r>
    </w:p>
    <w:p w14:paraId="3AAFFDA0" w14:textId="77777777" w:rsidR="00640874" w:rsidRPr="00640874" w:rsidRDefault="00640874" w:rsidP="00747F81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 pretkvalifikaciji ili prvoj fazi odabrano 4–5 ispravnih ponuda,</w:t>
      </w:r>
    </w:p>
    <w:p w14:paraId="0CA1A810" w14:textId="791E65A2" w:rsidR="00640874" w:rsidRPr="00640874" w:rsidRDefault="00640874" w:rsidP="00747F81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e-aukcija omogućava dodatno spuštanje cijena, uštede 5–15%.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 xml:space="preserve">Rezultat: snažan cjenovni pritisak, transparentno nadmetanje, uštede za </w:t>
      </w:r>
      <w:r w:rsid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proračun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30B9257C" w14:textId="77777777" w:rsidR="00640874" w:rsidRPr="00640874" w:rsidRDefault="004F4BCE" w:rsidP="006408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DCE1E2">
          <v:rect id="_x0000_i1062" style="width:0;height:1.5pt" o:hralign="center" o:hrstd="t" o:hr="t" fillcolor="#a0a0a0" stroked="f"/>
        </w:pict>
      </w:r>
    </w:p>
    <w:p w14:paraId="49DFDE50" w14:textId="35F74F40" w:rsidR="00640874" w:rsidRPr="00640874" w:rsidRDefault="00640874" w:rsidP="006408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7</w:t>
      </w:r>
      <w:r w:rsidRPr="006408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BR"/>
          <w14:ligatures w14:val="none"/>
        </w:rPr>
        <w:t>.8. Razvoj indikatora trajanja procedura i veza sa konkurencijom</w:t>
      </w:r>
    </w:p>
    <w:p w14:paraId="2C607BDB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Mjera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C7C3D67" w14:textId="77777777" w:rsidR="00640874" w:rsidRPr="00640874" w:rsidRDefault="00640874" w:rsidP="00747F8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Uvesti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standardne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indikatore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4C5EC7" w14:textId="77777777" w:rsidR="00640874" w:rsidRPr="00640874" w:rsidRDefault="00640874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vrijeme od objave do isteka roka za ponude,</w:t>
      </w:r>
    </w:p>
    <w:p w14:paraId="2DDCC146" w14:textId="77777777" w:rsidR="00640874" w:rsidRPr="00640874" w:rsidRDefault="00640874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vrijeme od otvaranja ponuda do odluke o dodjeli,</w:t>
      </w:r>
    </w:p>
    <w:p w14:paraId="08EF7120" w14:textId="77777777" w:rsidR="00640874" w:rsidRPr="00640874" w:rsidRDefault="00640874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ukupno trajanje postupka do zaključenja ugovora.</w:t>
      </w:r>
    </w:p>
    <w:p w14:paraId="64D3922B" w14:textId="77777777" w:rsidR="00640874" w:rsidRPr="00640874" w:rsidRDefault="00640874" w:rsidP="00747F81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Povezati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ih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39B68A5" w14:textId="77777777" w:rsidR="00640874" w:rsidRPr="00640874" w:rsidRDefault="00640874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prosječnim brojem ponuda po postupku,</w:t>
      </w:r>
    </w:p>
    <w:p w14:paraId="1C0A406F" w14:textId="263F3C99" w:rsidR="00640874" w:rsidRPr="00640874" w:rsidRDefault="002426BB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2426BB">
        <w:rPr>
          <w:rFonts w:ascii="Times New Roman" w:eastAsia="Times New Roman" w:hAnsi="Times New Roman" w:cs="Times New Roman"/>
          <w:kern w:val="0"/>
          <w14:ligatures w14:val="none"/>
        </w:rPr>
        <w:t>učestalosti</w:t>
      </w:r>
      <w:proofErr w:type="spellEnd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poništavanja</w:t>
      </w:r>
      <w:proofErr w:type="spellEnd"/>
      <w:r w:rsidR="00640874"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5056A888" w14:textId="2D53AFF4" w:rsidR="00640874" w:rsidRPr="00640874" w:rsidRDefault="00640874" w:rsidP="00747F81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upotrebom PBO i </w:t>
      </w:r>
      <w:r w:rsid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izravnog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sporazuma.</w:t>
      </w:r>
    </w:p>
    <w:p w14:paraId="278C4AD1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loše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C1EEC7F" w14:textId="53BE7335" w:rsidR="00640874" w:rsidRPr="00640874" w:rsidRDefault="00640874" w:rsidP="00747F81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Rok za dostavu ponuda u složenom postupku (radovi ili IT s</w:t>
      </w:r>
      <w:r w:rsid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ustavu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) je </w:t>
      </w:r>
      <w:r w:rsidRPr="00640874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 dana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dokumentacija je o</w:t>
      </w:r>
      <w:r w:rsidR="00E760F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psežna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traži se mnogo dokaza i analiza.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>Rezultat: javlja se 1 ponu</w:t>
      </w:r>
      <w:r w:rsid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koji je informaciju znao unaprijed, ostali nemaju vremena.</w:t>
      </w:r>
    </w:p>
    <w:p w14:paraId="5963A34B" w14:textId="77777777" w:rsidR="00640874" w:rsidRPr="00640874" w:rsidRDefault="00640874" w:rsidP="006408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dobre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prakse</w:t>
      </w:r>
      <w:proofErr w:type="spellEnd"/>
      <w:r w:rsidRPr="006408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E7C684F" w14:textId="4C5694B7" w:rsidR="00640874" w:rsidRPr="001F2F7B" w:rsidRDefault="00640874" w:rsidP="00747F81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Za složene nabave rok je postavljen na </w:t>
      </w:r>
      <w:r w:rsidRPr="001F2F7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30–40 dana</w:t>
      </w:r>
      <w:r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uz:</w:t>
      </w:r>
    </w:p>
    <w:p w14:paraId="65BA8666" w14:textId="77777777" w:rsidR="00640874" w:rsidRPr="00640874" w:rsidRDefault="00640874" w:rsidP="00747F8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jasno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strukturiranu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dokumentaciju</w:t>
      </w:r>
      <w:proofErr w:type="spellEnd"/>
      <w:r w:rsidRPr="0064087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FC2DFE1" w14:textId="58D8973C" w:rsidR="00640874" w:rsidRDefault="00640874" w:rsidP="00747F81">
      <w:pPr>
        <w:numPr>
          <w:ilvl w:val="1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eventualnu fazu pitanja i pojašnjenja prije isteka roka.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br/>
        <w:t>Rezultat: više ponu</w:t>
      </w:r>
      <w:r w:rsidR="008F6FD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64087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ima realnu šansu da pripremi kvalitetnu ponudu.</w:t>
      </w:r>
    </w:p>
    <w:p w14:paraId="17689310" w14:textId="77777777" w:rsidR="00713E0C" w:rsidRPr="00713E0C" w:rsidRDefault="00713E0C" w:rsidP="0071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3302D3A6" w14:textId="400E1BBF" w:rsidR="00713E0C" w:rsidRPr="00812A91" w:rsidRDefault="00713E0C" w:rsidP="00747F81">
      <w:pPr>
        <w:pStyle w:val="ListParagraph"/>
        <w:numPr>
          <w:ilvl w:val="0"/>
          <w:numId w:val="49"/>
        </w:num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812A9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 xml:space="preserve">Analiza konkurencije – perspektiva ugovornih </w:t>
      </w:r>
      <w:r w:rsidR="006433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tijela</w:t>
      </w:r>
    </w:p>
    <w:p w14:paraId="38D36718" w14:textId="670484A5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Ovo poglavlje daje detaljnu analizu ključnih aspekata konkurencije unutar s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javnih nabav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posmatrano iz perspektive ugovornih 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potencijalnih ponu</w:t>
      </w:r>
      <w:r w:rsidR="006433B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uz fokus na identifikaciju rizika, strukturnih slabosti i preporučenih mjera unapređenja.</w:t>
      </w:r>
    </w:p>
    <w:p w14:paraId="0E7E6737" w14:textId="4C382895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.1. Planiranje nabav</w:t>
      </w:r>
      <w:r w:rsidR="006433B7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a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kao determinanta tržišne konkurentnosti</w:t>
      </w:r>
    </w:p>
    <w:p w14:paraId="1CA9A512" w14:textId="70AEEF8A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Efikasno planiranje nabav</w:t>
      </w:r>
      <w:r w:rsidR="006433B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predstavlja osnovu za stabilno i predvidivo tržišno okruženje. Analiza planova nabav</w:t>
      </w:r>
      <w:r w:rsidR="006433B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pokazuje da odstupanja od procijenjenih vrijednosti, nepravovremena priprema dokumentacije i povećana učestalost hitnih postupaka negativno ut</w:t>
      </w:r>
      <w:r w:rsidR="006433B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ječu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na interes tržišta. Nedostatak realnih procjena količina i vrijednosti rezultira smanjenjem broja ponuda, povećanjem učestalosti poništavanja i padom povjerenja ponu</w:t>
      </w:r>
      <w:r w:rsidR="006433B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169BA5CC" w14:textId="7ACD7094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Preporučuje se uspostavljanje integri</w:t>
      </w:r>
      <w:r w:rsidR="006433B7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ranih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baza podataka i formaliziranih procedura internog planiranja koje uključuju upotrebu 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povjesnih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podataka, tržišnih analiza i višegodišnjeg programiranja nabav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AE2615F" w14:textId="2AA20FB7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.2. Kvalitet tehničkih specifikacija i u</w:t>
      </w:r>
      <w:r w:rsidR="00D77F55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vjeta </w:t>
      </w:r>
      <w:r w:rsidR="00D77F55" w:rsidRPr="001F2F7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sudjelovanja</w:t>
      </w:r>
    </w:p>
    <w:p w14:paraId="23C48A10" w14:textId="77777777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Nejasne, preuske ili prekomjerno razrađene tehničke specifikacije često predstavljaju ograničavajući faktor tržišne konkurencije. Analiza dosadašnjih postupaka pokazuje da 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specifikacije koje nisu usklađene s tržišnim standardima ili su nepotrebno restriktivne dovode do smanjenja broja kvalifikovanih ponuda i povećanja proceduralnih sporova.</w:t>
      </w:r>
    </w:p>
    <w:p w14:paraId="537F0BEA" w14:textId="39D04EEE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 cilju jačanja konkurencije preporučuje se standardizacija tehničkih specifikacija za tipične nabave, uvođenje postupka prethodnih tržišnih konsultacija te redovna revizija kriterija kvalifikacije kako bi se osiguralo da oni budu proporcionalni vrsti i vrijednosti nabave.</w:t>
      </w:r>
    </w:p>
    <w:p w14:paraId="2907664C" w14:textId="29B315C4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.3. Transparentnost postupka i dostupnost dokumentacije</w:t>
      </w:r>
    </w:p>
    <w:p w14:paraId="4F79B617" w14:textId="5583A965" w:rsidR="00713E0C" w:rsidRPr="00097189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Pravovremena i potpuna objava tendera, tehničke dokumentacije i sva relevantnih informacija predstavlja osnovni preduslov za </w:t>
      </w:r>
      <w:r w:rsidR="00E760F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odgovarajuće sudjelovanje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tržišta. Analiza ukazuje da kašnjenja u objavama, česte izmjene dokumentacije i nedovoljno jasni rokovi smanjuju interes 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gospodarskih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subjekata i </w:t>
      </w:r>
      <w:r w:rsidR="0045123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izravno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ut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ječu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na pad konkurencije.</w:t>
      </w:r>
    </w:p>
    <w:p w14:paraId="6A88AB8E" w14:textId="77777777" w:rsidR="00713E0C" w:rsidRPr="00097189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Preporučuje se strogo poštivanje minimalnih rokova za složenije postupke, dosljedno korištenje elektronskih platformi za komunikaciju i osiguranje pravovremene dostupnosti svih informacija u svim fazama postupka.</w:t>
      </w:r>
    </w:p>
    <w:p w14:paraId="29101A99" w14:textId="2088589B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.4. Struktura tržišta i zastupljenost ponu</w:t>
      </w:r>
      <w:r w:rsidR="00D77F55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ditelja</w:t>
      </w:r>
    </w:p>
    <w:p w14:paraId="4A63599A" w14:textId="3970159C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Analiza tržišne strukture ukazuje na pojavu sektora u kojima dominira mali broj ponu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što povećava rizik od tržišne koncentracije i smanjuje tržišnu dinamiku. Posebno se preporučuje praćenje procenta postupaka koji primaju samo jednu ponudu, kao i identifikacija sektora sa kontinuirano niskim 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razinom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tržišnog takmičenja.</w:t>
      </w:r>
    </w:p>
    <w:p w14:paraId="720542BE" w14:textId="7323A693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 cilju diversifikacije tržišnog </w:t>
      </w:r>
      <w:r w:rsidR="00D77F55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sudjelovanja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preporučuje se poticanje učešća malih i srednjih p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duzeća kroz odgovarajuće prilagođavanje o</w:t>
      </w:r>
      <w:r w:rsidR="00E760F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psega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nabav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podjelu predmeta nabav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na LOT-ove i ublažavanje neopravdano restriktivnih u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vjeta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sudjelovanja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46C94BE3" w14:textId="65A3C3FD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.5. Žalbe, poništavanja i proceduralni rizici</w:t>
      </w:r>
    </w:p>
    <w:p w14:paraId="14DA3262" w14:textId="3C84CE4B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Visoka učestalost žalbi i poništavanja tendera ukazuje na postojanje proceduralnih slabosti koje smanjuju konkurenciju i povećavaju rizik za ugovorn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 Analiza najčešćih razloga za žalbe pokazuje da se najveći broj sporova odnosi na nejasno defini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r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ane kriterije kvalifikacije, tehničke specifikacije i nepravilnosti u evaluaciji.</w:t>
      </w:r>
    </w:p>
    <w:p w14:paraId="4993E291" w14:textId="4DEAF6E7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Preporučuje se uvođenje internih mehanizama kontrole kvaliteta dokumentacije prije objave, te kontinuirana obuka članova komisija za javne nabave kako bi se smanjio broj proceduralnih propusta.</w:t>
      </w:r>
    </w:p>
    <w:p w14:paraId="28D8788D" w14:textId="79887FA4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9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.6. Kriteriji dodjele i njihov uticaj na konkurenciju</w:t>
      </w:r>
    </w:p>
    <w:p w14:paraId="68C5262F" w14:textId="4304899D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Korištenje kriterija najniže cijene kao dominantnog faktora u dodjeli ugovora pokazalo se kao ograničavajući faktor kvaliteta, inovacija i dugoročne vrijednosti. Analiza ukazuje da višekriterijska evaluacija (npr. ekonomski najpovoljnija ponuda, total cost of ownership) može 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dovesti do povećanog interes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iranja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onuditelja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stabilnije konkurencije i smanjenja rizika od nabav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a 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niske kvalitete.</w:t>
      </w:r>
    </w:p>
    <w:p w14:paraId="14A96CAB" w14:textId="00EDC108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Ugovornim 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tijelima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se preporučuje da, kad god je opravdano, koriste kvalitativne kriterije koji uključuju dugoročne troškove, kvalitetu, održivost i tehničku pouzdanost.</w:t>
      </w:r>
    </w:p>
    <w:p w14:paraId="09157E6A" w14:textId="68FF1567" w:rsidR="00713E0C" w:rsidRPr="00812A91" w:rsidRDefault="00713E0C" w:rsidP="00713E0C">
      <w:pPr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</w:pPr>
      <w:r w:rsidRPr="000F0FE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10. Analiza konkurencije – perspektiva ponu</w:t>
      </w:r>
      <w:r w:rsidR="00D77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BR"/>
          <w14:ligatures w14:val="none"/>
        </w:rPr>
        <w:t>ditelja</w:t>
      </w:r>
    </w:p>
    <w:p w14:paraId="189F5F48" w14:textId="3766FDA6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.1. Procjena u</w:t>
      </w:r>
      <w:r w:rsidR="00D77F55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vjeta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i zahtjeva prije </w:t>
      </w:r>
      <w:r w:rsidR="00D77F55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sudjelovanja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 xml:space="preserve"> u postupku</w:t>
      </w:r>
    </w:p>
    <w:p w14:paraId="52FB04EC" w14:textId="501BF0FE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Uspješnost ponu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 postupcima javnih nabav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 značajnoj mjeri zavisi od njihove sposobnosti da pravilno procijene složenost i zahtjeve tendera. Analiza pokazuje da veliki broj ponuda bude odbačen zbog proceduralnih pogrešaka, nedovoljnog poznavanja zakonskog okvira ili pogrešnog tumačenja tehničkih zahtjeva.</w:t>
      </w:r>
    </w:p>
    <w:p w14:paraId="1995CFAC" w14:textId="702E899C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Preporučuje se s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ustavna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analiza svakog tendera prije donošenja odluke o 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sudjelovanju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uključujući evaluaciju u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vjete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kvalifikacije, rokova, tehničkih zahtjeva i mogućih rizika.</w:t>
      </w:r>
    </w:p>
    <w:p w14:paraId="4F9CE1A7" w14:textId="64D81E7F" w:rsidR="00713E0C" w:rsidRPr="00E274A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E274A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10.2. Identifikacija sektora s niskom konkurencijom</w:t>
      </w:r>
    </w:p>
    <w:p w14:paraId="4CE4B972" w14:textId="1A6E91EF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Ponu</w:t>
      </w:r>
      <w:r w:rsid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ditelji</w:t>
      </w:r>
      <w:r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koji aktivno prate tržišne trendove i </w:t>
      </w:r>
      <w:r w:rsidR="00D77F55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identificiraju</w:t>
      </w:r>
      <w:r w:rsidR="00D77F55" w:rsidRPr="00D77F55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sektore s niž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om</w:t>
      </w:r>
      <w:r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razinom </w:t>
      </w:r>
      <w:r w:rsidRPr="00E274A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konkurencije ostvaruju značajne komparativne prednosti. 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Analiza dostupnih podataka o prosječnom broju ponuda, učestalosti žalbi i strukturi 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sudionika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omogućava prepoznavanje tržišnih niša u kojima postoje veće šanse za uspjeh.</w:t>
      </w:r>
    </w:p>
    <w:p w14:paraId="2BA5CBC0" w14:textId="7420F928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Ponu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diteljima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se preporučuje korištenje analitičkih alata i statističkih izvještaja s platformi javnih naba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radi s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ustavnog 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praćenja tržišnih prilika.</w:t>
      </w:r>
    </w:p>
    <w:p w14:paraId="44ABBDC6" w14:textId="37E120E2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.3. Analiza konkurentskih profila i strategija</w:t>
      </w:r>
    </w:p>
    <w:p w14:paraId="014DD228" w14:textId="65BA9350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Detaljna analiza profila konkurentskih ponu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ditelja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– uključujući njihove reference, kapacitete, cjenovne strategije i sektorsku prisutnost – omogućava razvoj diferenciranih ponuda i jačanje tržišne pozicije. Preporučuje se praćenje rezultata prethodnih postupaka, identifikacija 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tvrtki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koje kontinuirano pobjeđuju u određenim sektorima i analiza njihovih tehničkih i organizaci</w:t>
      </w:r>
      <w:r w:rsidR="00CB3593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jskih 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prednosti.</w:t>
      </w:r>
    </w:p>
    <w:p w14:paraId="5FCF25BE" w14:textId="36C440FF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.4. Mogućnosti zajedničkih ponuda i partnerstava</w:t>
      </w:r>
    </w:p>
    <w:p w14:paraId="60BD3B20" w14:textId="2D929D34" w:rsidR="00713E0C" w:rsidRPr="00097189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Udruživanje kroz konzorcije ili podugovaranje predstavlja značajan mehanizam jačanja konkurentske sposobnosti malih i srednjih p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duzeća. Analiza pokazuje da zajednički nastupi povećavaju šanse za uspjeh na kompleksnim nabav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ama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, omogućavaju dijeljenje resursa i smanjuju rizike.</w:t>
      </w:r>
    </w:p>
    <w:p w14:paraId="3CC06F8F" w14:textId="56BBD54F" w:rsidR="00713E0C" w:rsidRPr="00097189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Preporučuje se s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ustvavna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procjena mogućnosti partnerstava, posebno u sektorima s visokom tehničkom i finan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c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ijskom složenošću.</w:t>
      </w:r>
    </w:p>
    <w:p w14:paraId="225E52A0" w14:textId="27251DCA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.5. Evaluacija vlastitog učinka i jačanje kapaciteta</w:t>
      </w:r>
    </w:p>
    <w:p w14:paraId="3B20E28B" w14:textId="37FE6346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lastRenderedPageBreak/>
        <w:t>Pregled prethodnih ponuda, analiza razloga odbijanja i procjena uspjeha pružaju ključne informacije za unapređenje internih procedura i kompetencija. Ponu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ditelji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trebaju razvijati interne mehanizme kontrole kvaliteta ponuda, investirati u edukaciju zaposlenika i kontinuirano </w:t>
      </w:r>
      <w:r w:rsidR="007B706B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unaprjeđivati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administrativne i tehničke kapacitete.</w:t>
      </w:r>
    </w:p>
    <w:p w14:paraId="448842F0" w14:textId="5BEE6D85" w:rsidR="00713E0C" w:rsidRPr="00713E0C" w:rsidRDefault="00713E0C" w:rsidP="00713E0C">
      <w:pP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10</w:t>
      </w: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.6. Analiza kriterija evaluacije kao alat za strategijsko pozicioniranje</w:t>
      </w:r>
    </w:p>
    <w:p w14:paraId="5E0D39AA" w14:textId="443150EA" w:rsidR="00713E0C" w:rsidRPr="00713E0C" w:rsidRDefault="00713E0C" w:rsidP="00713E0C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Ponu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</w:t>
      </w:r>
      <w:r w:rsidRPr="00713E0C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 trebaju detaljno analizirati kriterije dodjele kako bi odredili u kojim postupcima postoji najviše prostora za diferencijaciju ne samo kroz cijenu, nego i kroz kvalitetnu tehničku ponudu, inovativna rješenja, ekološke standarde ili dugoročne koristi.</w:t>
      </w:r>
    </w:p>
    <w:p w14:paraId="4E6ABE21" w14:textId="43586A9E" w:rsidR="00713E0C" w:rsidRPr="00713E0C" w:rsidRDefault="00713E0C" w:rsidP="000F0FED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713E0C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Zaključak</w:t>
      </w:r>
    </w:p>
    <w:p w14:paraId="4C244E83" w14:textId="1A31ACEF" w:rsidR="0021204D" w:rsidRPr="00097189" w:rsidRDefault="00713E0C" w:rsidP="00097189">
      <w:pPr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Analiza konkurencije predstavlja ključni mehanizam za mjerenje efikasnosti s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ustava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javnih nabav</w:t>
      </w:r>
      <w:r w:rsidR="007B706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identifikaciju područja u kojima je potrebno djelovati radi unapređenja tržišnog </w:t>
      </w:r>
      <w:r w:rsidR="00F644F0" w:rsidRPr="001F2F7B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natjecanja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 Ugovorn</w:t>
      </w:r>
      <w:r w:rsidR="00F644F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o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="00F644F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tijelo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, kroz bolje planiranje, unapređenje tehničke dokumentacije, osiguranje transparentnosti i korištenje adekvatnih kriterija, imaju presudnu ulogu u stvaranju povoljnog ambijenta za </w:t>
      </w:r>
      <w:r w:rsidR="00E760F4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sudjelovanje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tržišta. Istovremeno, ponu</w:t>
      </w:r>
      <w:r w:rsidR="00F644F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ditelji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trebaju razvijati vlastite analitičke, organizac</w:t>
      </w:r>
      <w:r w:rsidR="00F644F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ijske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i tehničke kapacitete kako bi maksimalno iskoristili dostupne tržišne prilike.</w:t>
      </w:r>
      <w:r w:rsid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Primjena preporučenih mjera doprinijet će povećanju broja </w:t>
      </w:r>
      <w:r w:rsidR="00F644F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sudionika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u postupcima, smanjenju pravnih sporova i podizanju kvaliteta javnih usluga i investicija, čime se </w:t>
      </w:r>
      <w:r w:rsidR="00451238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izravno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jača integritet i efikasnost s</w:t>
      </w:r>
      <w:r w:rsidR="00F644F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ustava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javnih nabav</w:t>
      </w:r>
      <w:r w:rsidR="00F644F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a</w:t>
      </w:r>
      <w:r w:rsidRPr="00097189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.</w:t>
      </w:r>
    </w:p>
    <w:p w14:paraId="2DDC0840" w14:textId="77777777" w:rsidR="00640874" w:rsidRPr="00097189" w:rsidRDefault="00640874" w:rsidP="00097189">
      <w:pPr>
        <w:jc w:val="both"/>
        <w:rPr>
          <w:lang w:val="pt-BR"/>
        </w:rPr>
      </w:pPr>
    </w:p>
    <w:sectPr w:rsidR="00640874" w:rsidRPr="000971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E65"/>
    <w:multiLevelType w:val="multilevel"/>
    <w:tmpl w:val="3A24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85563"/>
    <w:multiLevelType w:val="multilevel"/>
    <w:tmpl w:val="F168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E907D8"/>
    <w:multiLevelType w:val="multilevel"/>
    <w:tmpl w:val="1C4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04618"/>
    <w:multiLevelType w:val="multilevel"/>
    <w:tmpl w:val="6DCE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5922A3"/>
    <w:multiLevelType w:val="multilevel"/>
    <w:tmpl w:val="F71C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7405A"/>
    <w:multiLevelType w:val="multilevel"/>
    <w:tmpl w:val="D6F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64291"/>
    <w:multiLevelType w:val="multilevel"/>
    <w:tmpl w:val="F004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028DF"/>
    <w:multiLevelType w:val="multilevel"/>
    <w:tmpl w:val="43E2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53667C"/>
    <w:multiLevelType w:val="multilevel"/>
    <w:tmpl w:val="D314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482CF6"/>
    <w:multiLevelType w:val="multilevel"/>
    <w:tmpl w:val="3FF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34A93"/>
    <w:multiLevelType w:val="multilevel"/>
    <w:tmpl w:val="7FB6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DB6C79"/>
    <w:multiLevelType w:val="multilevel"/>
    <w:tmpl w:val="331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C8742C"/>
    <w:multiLevelType w:val="multilevel"/>
    <w:tmpl w:val="008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97F4B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142FB8"/>
    <w:multiLevelType w:val="multilevel"/>
    <w:tmpl w:val="A850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2D5FEC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9576A7"/>
    <w:multiLevelType w:val="multilevel"/>
    <w:tmpl w:val="5BB4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443126"/>
    <w:multiLevelType w:val="multilevel"/>
    <w:tmpl w:val="8D26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2E5881"/>
    <w:multiLevelType w:val="multilevel"/>
    <w:tmpl w:val="08D6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C739E6"/>
    <w:multiLevelType w:val="multilevel"/>
    <w:tmpl w:val="D2AC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324043"/>
    <w:multiLevelType w:val="multilevel"/>
    <w:tmpl w:val="3448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E0609F"/>
    <w:multiLevelType w:val="multilevel"/>
    <w:tmpl w:val="0A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0A46BEE"/>
    <w:multiLevelType w:val="multilevel"/>
    <w:tmpl w:val="9E84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0352D2"/>
    <w:multiLevelType w:val="multilevel"/>
    <w:tmpl w:val="09C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400C05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407853"/>
    <w:multiLevelType w:val="multilevel"/>
    <w:tmpl w:val="D6B2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576EBA"/>
    <w:multiLevelType w:val="multilevel"/>
    <w:tmpl w:val="32AE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D60128"/>
    <w:multiLevelType w:val="multilevel"/>
    <w:tmpl w:val="1256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E548C3"/>
    <w:multiLevelType w:val="multilevel"/>
    <w:tmpl w:val="407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2E3557"/>
    <w:multiLevelType w:val="multilevel"/>
    <w:tmpl w:val="F22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DC45AD"/>
    <w:multiLevelType w:val="multilevel"/>
    <w:tmpl w:val="866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A13615E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A6F0C7F"/>
    <w:multiLevelType w:val="multilevel"/>
    <w:tmpl w:val="0AD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717655"/>
    <w:multiLevelType w:val="multilevel"/>
    <w:tmpl w:val="F4E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0F2995"/>
    <w:multiLevelType w:val="multilevel"/>
    <w:tmpl w:val="0A1C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0421B4"/>
    <w:multiLevelType w:val="multilevel"/>
    <w:tmpl w:val="479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2152B6"/>
    <w:multiLevelType w:val="multilevel"/>
    <w:tmpl w:val="9ED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4B13AC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DA682E"/>
    <w:multiLevelType w:val="multilevel"/>
    <w:tmpl w:val="03B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F6158A"/>
    <w:multiLevelType w:val="multilevel"/>
    <w:tmpl w:val="EBA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207A09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8D5332"/>
    <w:multiLevelType w:val="multilevel"/>
    <w:tmpl w:val="E32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6267C27"/>
    <w:multiLevelType w:val="multilevel"/>
    <w:tmpl w:val="4BB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6450F3"/>
    <w:multiLevelType w:val="multilevel"/>
    <w:tmpl w:val="8728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CF4DAD"/>
    <w:multiLevelType w:val="multilevel"/>
    <w:tmpl w:val="629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8CE0524"/>
    <w:multiLevelType w:val="multilevel"/>
    <w:tmpl w:val="AD8E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E97479"/>
    <w:multiLevelType w:val="multilevel"/>
    <w:tmpl w:val="468E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C42AD2"/>
    <w:multiLevelType w:val="multilevel"/>
    <w:tmpl w:val="F7C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CD084F"/>
    <w:multiLevelType w:val="multilevel"/>
    <w:tmpl w:val="DDB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D465EAD"/>
    <w:multiLevelType w:val="multilevel"/>
    <w:tmpl w:val="B0F0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E4C1BD6"/>
    <w:multiLevelType w:val="multilevel"/>
    <w:tmpl w:val="4102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6D45E2"/>
    <w:multiLevelType w:val="multilevel"/>
    <w:tmpl w:val="723C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8C7790"/>
    <w:multiLevelType w:val="multilevel"/>
    <w:tmpl w:val="350C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5574E77"/>
    <w:multiLevelType w:val="multilevel"/>
    <w:tmpl w:val="E86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6D22B1B"/>
    <w:multiLevelType w:val="multilevel"/>
    <w:tmpl w:val="C15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44468B"/>
    <w:multiLevelType w:val="multilevel"/>
    <w:tmpl w:val="2E8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B0A0245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C27644"/>
    <w:multiLevelType w:val="multilevel"/>
    <w:tmpl w:val="0896B6FC"/>
    <w:lvl w:ilvl="0">
      <w:start w:val="1"/>
      <w:numFmt w:val="decimal"/>
      <w:lvlText w:val="%1."/>
      <w:lvlJc w:val="left"/>
      <w:pPr>
        <w:ind w:left="420" w:hanging="420"/>
      </w:pPr>
      <w:rPr>
        <w:rFonts w:ascii="Aptos" w:hAnsi="Aptos" w:cs="Aptos" w:hint="default"/>
        <w:b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ascii="Aptos" w:hAnsi="Aptos" w:cs="Aptos" w:hint="default"/>
        <w:b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Aptos" w:hAnsi="Aptos" w:cs="Aptos"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Aptos" w:hAnsi="Aptos" w:cs="Aptos" w:hint="default"/>
        <w:b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Aptos" w:hAnsi="Aptos" w:cs="Aptos" w:hint="default"/>
        <w:b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Aptos" w:hAnsi="Aptos" w:cs="Aptos" w:hint="default"/>
        <w:b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Aptos" w:hAnsi="Aptos" w:cs="Aptos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Aptos" w:hAnsi="Aptos" w:cs="Aptos" w:hint="default"/>
        <w:b/>
      </w:rPr>
    </w:lvl>
  </w:abstractNum>
  <w:abstractNum w:abstractNumId="58" w15:restartNumberingAfterBreak="0">
    <w:nsid w:val="4E3F0F39"/>
    <w:multiLevelType w:val="multilevel"/>
    <w:tmpl w:val="8436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24176B"/>
    <w:multiLevelType w:val="multilevel"/>
    <w:tmpl w:val="1B94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2768D5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A569AA"/>
    <w:multiLevelType w:val="multilevel"/>
    <w:tmpl w:val="D902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A11FC1"/>
    <w:multiLevelType w:val="multilevel"/>
    <w:tmpl w:val="B22C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8A587C"/>
    <w:multiLevelType w:val="multilevel"/>
    <w:tmpl w:val="B39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CC3301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DD2054"/>
    <w:multiLevelType w:val="multilevel"/>
    <w:tmpl w:val="FA3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5B03F3"/>
    <w:multiLevelType w:val="multilevel"/>
    <w:tmpl w:val="507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840E11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C0B5F72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E1F18D2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E540BD0"/>
    <w:multiLevelType w:val="multilevel"/>
    <w:tmpl w:val="BC88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55304C"/>
    <w:multiLevelType w:val="multilevel"/>
    <w:tmpl w:val="0B0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9F50B5"/>
    <w:multiLevelType w:val="multilevel"/>
    <w:tmpl w:val="08EA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F424198"/>
    <w:multiLevelType w:val="multilevel"/>
    <w:tmpl w:val="25E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F6D2680"/>
    <w:multiLevelType w:val="multilevel"/>
    <w:tmpl w:val="5D06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9E6D3F"/>
    <w:multiLevelType w:val="multilevel"/>
    <w:tmpl w:val="90A4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0060FCF"/>
    <w:multiLevelType w:val="multilevel"/>
    <w:tmpl w:val="6D1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046F14"/>
    <w:multiLevelType w:val="multilevel"/>
    <w:tmpl w:val="4E3E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E47039"/>
    <w:multiLevelType w:val="multilevel"/>
    <w:tmpl w:val="2754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7B0392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66342E"/>
    <w:multiLevelType w:val="multilevel"/>
    <w:tmpl w:val="218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68E14BF"/>
    <w:multiLevelType w:val="hybridMultilevel"/>
    <w:tmpl w:val="35D8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0869B7"/>
    <w:multiLevelType w:val="multilevel"/>
    <w:tmpl w:val="9BEE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07622D3"/>
    <w:multiLevelType w:val="hybridMultilevel"/>
    <w:tmpl w:val="E8CA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1327C8"/>
    <w:multiLevelType w:val="multilevel"/>
    <w:tmpl w:val="9F1E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133093"/>
    <w:multiLevelType w:val="multilevel"/>
    <w:tmpl w:val="51E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2643A83"/>
    <w:multiLevelType w:val="multilevel"/>
    <w:tmpl w:val="E4E8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2656DF1"/>
    <w:multiLevelType w:val="multilevel"/>
    <w:tmpl w:val="FED6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8B05670"/>
    <w:multiLevelType w:val="multilevel"/>
    <w:tmpl w:val="8AB6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8E70428"/>
    <w:multiLevelType w:val="multilevel"/>
    <w:tmpl w:val="5C3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E76CD8"/>
    <w:multiLevelType w:val="multilevel"/>
    <w:tmpl w:val="B868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A434252"/>
    <w:multiLevelType w:val="multilevel"/>
    <w:tmpl w:val="F07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A1140E"/>
    <w:multiLevelType w:val="multilevel"/>
    <w:tmpl w:val="280E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E426D92"/>
    <w:multiLevelType w:val="multilevel"/>
    <w:tmpl w:val="B86E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841327">
    <w:abstractNumId w:val="48"/>
  </w:num>
  <w:num w:numId="2" w16cid:durableId="1949193275">
    <w:abstractNumId w:val="77"/>
  </w:num>
  <w:num w:numId="3" w16cid:durableId="945889763">
    <w:abstractNumId w:val="38"/>
  </w:num>
  <w:num w:numId="4" w16cid:durableId="635450714">
    <w:abstractNumId w:val="47"/>
  </w:num>
  <w:num w:numId="5" w16cid:durableId="1865049784">
    <w:abstractNumId w:val="8"/>
  </w:num>
  <w:num w:numId="6" w16cid:durableId="1905792834">
    <w:abstractNumId w:val="93"/>
  </w:num>
  <w:num w:numId="7" w16cid:durableId="1863472036">
    <w:abstractNumId w:val="82"/>
  </w:num>
  <w:num w:numId="8" w16cid:durableId="407196111">
    <w:abstractNumId w:val="11"/>
  </w:num>
  <w:num w:numId="9" w16cid:durableId="458492482">
    <w:abstractNumId w:val="21"/>
  </w:num>
  <w:num w:numId="10" w16cid:durableId="1931624162">
    <w:abstractNumId w:val="46"/>
  </w:num>
  <w:num w:numId="11" w16cid:durableId="607127082">
    <w:abstractNumId w:val="72"/>
  </w:num>
  <w:num w:numId="12" w16cid:durableId="1398942805">
    <w:abstractNumId w:val="90"/>
  </w:num>
  <w:num w:numId="13" w16cid:durableId="1235359574">
    <w:abstractNumId w:val="25"/>
  </w:num>
  <w:num w:numId="14" w16cid:durableId="623004450">
    <w:abstractNumId w:val="20"/>
  </w:num>
  <w:num w:numId="15" w16cid:durableId="467015317">
    <w:abstractNumId w:val="10"/>
  </w:num>
  <w:num w:numId="16" w16cid:durableId="1812402827">
    <w:abstractNumId w:val="89"/>
  </w:num>
  <w:num w:numId="17" w16cid:durableId="719061500">
    <w:abstractNumId w:val="4"/>
  </w:num>
  <w:num w:numId="18" w16cid:durableId="1751539666">
    <w:abstractNumId w:val="54"/>
  </w:num>
  <w:num w:numId="19" w16cid:durableId="1955481394">
    <w:abstractNumId w:val="43"/>
  </w:num>
  <w:num w:numId="20" w16cid:durableId="1659457454">
    <w:abstractNumId w:val="5"/>
  </w:num>
  <w:num w:numId="21" w16cid:durableId="266352024">
    <w:abstractNumId w:val="14"/>
  </w:num>
  <w:num w:numId="22" w16cid:durableId="2080974986">
    <w:abstractNumId w:val="6"/>
  </w:num>
  <w:num w:numId="23" w16cid:durableId="1609118255">
    <w:abstractNumId w:val="9"/>
  </w:num>
  <w:num w:numId="24" w16cid:durableId="1516117">
    <w:abstractNumId w:val="0"/>
  </w:num>
  <w:num w:numId="25" w16cid:durableId="657803619">
    <w:abstractNumId w:val="55"/>
  </w:num>
  <w:num w:numId="26" w16cid:durableId="1554190454">
    <w:abstractNumId w:val="18"/>
  </w:num>
  <w:num w:numId="27" w16cid:durableId="1224026544">
    <w:abstractNumId w:val="35"/>
  </w:num>
  <w:num w:numId="28" w16cid:durableId="648823192">
    <w:abstractNumId w:val="92"/>
  </w:num>
  <w:num w:numId="29" w16cid:durableId="1845122088">
    <w:abstractNumId w:val="73"/>
  </w:num>
  <w:num w:numId="30" w16cid:durableId="1232042752">
    <w:abstractNumId w:val="52"/>
  </w:num>
  <w:num w:numId="31" w16cid:durableId="854610009">
    <w:abstractNumId w:val="3"/>
  </w:num>
  <w:num w:numId="32" w16cid:durableId="1246956998">
    <w:abstractNumId w:val="32"/>
  </w:num>
  <w:num w:numId="33" w16cid:durableId="32460235">
    <w:abstractNumId w:val="16"/>
  </w:num>
  <w:num w:numId="34" w16cid:durableId="382486729">
    <w:abstractNumId w:val="44"/>
  </w:num>
  <w:num w:numId="35" w16cid:durableId="1319840556">
    <w:abstractNumId w:val="17"/>
  </w:num>
  <w:num w:numId="36" w16cid:durableId="1623226103">
    <w:abstractNumId w:val="85"/>
  </w:num>
  <w:num w:numId="37" w16cid:durableId="397746826">
    <w:abstractNumId w:val="41"/>
  </w:num>
  <w:num w:numId="38" w16cid:durableId="1446272935">
    <w:abstractNumId w:val="58"/>
  </w:num>
  <w:num w:numId="39" w16cid:durableId="45490215">
    <w:abstractNumId w:val="61"/>
  </w:num>
  <w:num w:numId="40" w16cid:durableId="1483962922">
    <w:abstractNumId w:val="22"/>
  </w:num>
  <w:num w:numId="41" w16cid:durableId="250966355">
    <w:abstractNumId w:val="91"/>
  </w:num>
  <w:num w:numId="42" w16cid:durableId="2001344021">
    <w:abstractNumId w:val="66"/>
  </w:num>
  <w:num w:numId="43" w16cid:durableId="446509933">
    <w:abstractNumId w:val="63"/>
  </w:num>
  <w:num w:numId="44" w16cid:durableId="2133132552">
    <w:abstractNumId w:val="30"/>
  </w:num>
  <w:num w:numId="45" w16cid:durableId="1354528604">
    <w:abstractNumId w:val="33"/>
  </w:num>
  <w:num w:numId="46" w16cid:durableId="875890772">
    <w:abstractNumId w:val="80"/>
  </w:num>
  <w:num w:numId="47" w16cid:durableId="2087797256">
    <w:abstractNumId w:val="45"/>
  </w:num>
  <w:num w:numId="48" w16cid:durableId="1579710768">
    <w:abstractNumId w:val="71"/>
  </w:num>
  <w:num w:numId="49" w16cid:durableId="393085351">
    <w:abstractNumId w:val="70"/>
  </w:num>
  <w:num w:numId="50" w16cid:durableId="697854806">
    <w:abstractNumId w:val="75"/>
  </w:num>
  <w:num w:numId="51" w16cid:durableId="194343681">
    <w:abstractNumId w:val="7"/>
  </w:num>
  <w:num w:numId="52" w16cid:durableId="158035344">
    <w:abstractNumId w:val="42"/>
  </w:num>
  <w:num w:numId="53" w16cid:durableId="371078846">
    <w:abstractNumId w:val="86"/>
  </w:num>
  <w:num w:numId="54" w16cid:durableId="1151020880">
    <w:abstractNumId w:val="65"/>
  </w:num>
  <w:num w:numId="55" w16cid:durableId="2041513141">
    <w:abstractNumId w:val="50"/>
  </w:num>
  <w:num w:numId="56" w16cid:durableId="693655034">
    <w:abstractNumId w:val="39"/>
  </w:num>
  <w:num w:numId="57" w16cid:durableId="788360013">
    <w:abstractNumId w:val="19"/>
  </w:num>
  <w:num w:numId="58" w16cid:durableId="2118326763">
    <w:abstractNumId w:val="36"/>
  </w:num>
  <w:num w:numId="59" w16cid:durableId="1316300898">
    <w:abstractNumId w:val="12"/>
  </w:num>
  <w:num w:numId="60" w16cid:durableId="946541473">
    <w:abstractNumId w:val="84"/>
  </w:num>
  <w:num w:numId="61" w16cid:durableId="1277562622">
    <w:abstractNumId w:val="34"/>
  </w:num>
  <w:num w:numId="62" w16cid:durableId="19092841">
    <w:abstractNumId w:val="76"/>
  </w:num>
  <w:num w:numId="63" w16cid:durableId="1913857307">
    <w:abstractNumId w:val="78"/>
  </w:num>
  <w:num w:numId="64" w16cid:durableId="1599482878">
    <w:abstractNumId w:val="23"/>
  </w:num>
  <w:num w:numId="65" w16cid:durableId="1699117635">
    <w:abstractNumId w:val="87"/>
  </w:num>
  <w:num w:numId="66" w16cid:durableId="58209817">
    <w:abstractNumId w:val="29"/>
  </w:num>
  <w:num w:numId="67" w16cid:durableId="370618141">
    <w:abstractNumId w:val="26"/>
  </w:num>
  <w:num w:numId="68" w16cid:durableId="994724002">
    <w:abstractNumId w:val="28"/>
  </w:num>
  <w:num w:numId="69" w16cid:durableId="1055274852">
    <w:abstractNumId w:val="49"/>
  </w:num>
  <w:num w:numId="70" w16cid:durableId="1321542394">
    <w:abstractNumId w:val="27"/>
  </w:num>
  <w:num w:numId="71" w16cid:durableId="671958849">
    <w:abstractNumId w:val="2"/>
  </w:num>
  <w:num w:numId="72" w16cid:durableId="1053654523">
    <w:abstractNumId w:val="51"/>
  </w:num>
  <w:num w:numId="73" w16cid:durableId="2110811187">
    <w:abstractNumId w:val="62"/>
  </w:num>
  <w:num w:numId="74" w16cid:durableId="1415474616">
    <w:abstractNumId w:val="83"/>
  </w:num>
  <w:num w:numId="75" w16cid:durableId="1247959764">
    <w:abstractNumId w:val="88"/>
  </w:num>
  <w:num w:numId="76" w16cid:durableId="478347586">
    <w:abstractNumId w:val="59"/>
  </w:num>
  <w:num w:numId="77" w16cid:durableId="553198547">
    <w:abstractNumId w:val="74"/>
  </w:num>
  <w:num w:numId="78" w16cid:durableId="1346175023">
    <w:abstractNumId w:val="68"/>
  </w:num>
  <w:num w:numId="79" w16cid:durableId="218326687">
    <w:abstractNumId w:val="31"/>
  </w:num>
  <w:num w:numId="80" w16cid:durableId="1490250407">
    <w:abstractNumId w:val="37"/>
  </w:num>
  <w:num w:numId="81" w16cid:durableId="767847936">
    <w:abstractNumId w:val="56"/>
  </w:num>
  <w:num w:numId="82" w16cid:durableId="1836415810">
    <w:abstractNumId w:val="40"/>
  </w:num>
  <w:num w:numId="83" w16cid:durableId="665287330">
    <w:abstractNumId w:val="79"/>
  </w:num>
  <w:num w:numId="84" w16cid:durableId="1610701533">
    <w:abstractNumId w:val="67"/>
  </w:num>
  <w:num w:numId="85" w16cid:durableId="967709065">
    <w:abstractNumId w:val="15"/>
  </w:num>
  <w:num w:numId="86" w16cid:durableId="1921602722">
    <w:abstractNumId w:val="64"/>
  </w:num>
  <w:num w:numId="87" w16cid:durableId="1270815754">
    <w:abstractNumId w:val="24"/>
  </w:num>
  <w:num w:numId="88" w16cid:durableId="1983801231">
    <w:abstractNumId w:val="69"/>
  </w:num>
  <w:num w:numId="89" w16cid:durableId="842623999">
    <w:abstractNumId w:val="13"/>
  </w:num>
  <w:num w:numId="90" w16cid:durableId="1910264092">
    <w:abstractNumId w:val="60"/>
  </w:num>
  <w:num w:numId="91" w16cid:durableId="2096659352">
    <w:abstractNumId w:val="81"/>
  </w:num>
  <w:num w:numId="92" w16cid:durableId="1162044997">
    <w:abstractNumId w:val="1"/>
  </w:num>
  <w:num w:numId="93" w16cid:durableId="916478776">
    <w:abstractNumId w:val="53"/>
  </w:num>
  <w:num w:numId="94" w16cid:durableId="936904776">
    <w:abstractNumId w:val="5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D"/>
    <w:rsid w:val="00006245"/>
    <w:rsid w:val="00010074"/>
    <w:rsid w:val="00052DE3"/>
    <w:rsid w:val="00067A3D"/>
    <w:rsid w:val="0007199C"/>
    <w:rsid w:val="00097189"/>
    <w:rsid w:val="000B79C9"/>
    <w:rsid w:val="000D426C"/>
    <w:rsid w:val="000D6761"/>
    <w:rsid w:val="000E0601"/>
    <w:rsid w:val="000F0FED"/>
    <w:rsid w:val="000F13D3"/>
    <w:rsid w:val="00102699"/>
    <w:rsid w:val="00103C20"/>
    <w:rsid w:val="00104B20"/>
    <w:rsid w:val="00132B47"/>
    <w:rsid w:val="00165372"/>
    <w:rsid w:val="00165952"/>
    <w:rsid w:val="001938D9"/>
    <w:rsid w:val="001C16ED"/>
    <w:rsid w:val="001F2F7B"/>
    <w:rsid w:val="002043EE"/>
    <w:rsid w:val="0021204D"/>
    <w:rsid w:val="0021520D"/>
    <w:rsid w:val="00242034"/>
    <w:rsid w:val="002426BB"/>
    <w:rsid w:val="002426E7"/>
    <w:rsid w:val="0024548D"/>
    <w:rsid w:val="002A1FD1"/>
    <w:rsid w:val="002B0726"/>
    <w:rsid w:val="002F0041"/>
    <w:rsid w:val="002F309B"/>
    <w:rsid w:val="00305C17"/>
    <w:rsid w:val="00306E06"/>
    <w:rsid w:val="0032446D"/>
    <w:rsid w:val="003557C3"/>
    <w:rsid w:val="0036409B"/>
    <w:rsid w:val="00373D53"/>
    <w:rsid w:val="00377527"/>
    <w:rsid w:val="003835F8"/>
    <w:rsid w:val="003861C9"/>
    <w:rsid w:val="003955A3"/>
    <w:rsid w:val="003B25AB"/>
    <w:rsid w:val="003D1B46"/>
    <w:rsid w:val="003F0D39"/>
    <w:rsid w:val="003F76FE"/>
    <w:rsid w:val="00404351"/>
    <w:rsid w:val="00445AF3"/>
    <w:rsid w:val="00451238"/>
    <w:rsid w:val="0046676F"/>
    <w:rsid w:val="00481712"/>
    <w:rsid w:val="004915A2"/>
    <w:rsid w:val="00496621"/>
    <w:rsid w:val="004C4B85"/>
    <w:rsid w:val="004F3A99"/>
    <w:rsid w:val="00503797"/>
    <w:rsid w:val="00510A3E"/>
    <w:rsid w:val="005168F2"/>
    <w:rsid w:val="005233A7"/>
    <w:rsid w:val="00524732"/>
    <w:rsid w:val="00527634"/>
    <w:rsid w:val="00541E8F"/>
    <w:rsid w:val="005903EF"/>
    <w:rsid w:val="005A145F"/>
    <w:rsid w:val="005B79C2"/>
    <w:rsid w:val="005C5055"/>
    <w:rsid w:val="005D2342"/>
    <w:rsid w:val="005E46C8"/>
    <w:rsid w:val="005F2EAB"/>
    <w:rsid w:val="006108DA"/>
    <w:rsid w:val="00614067"/>
    <w:rsid w:val="00621FAE"/>
    <w:rsid w:val="00627B51"/>
    <w:rsid w:val="00640874"/>
    <w:rsid w:val="006433B7"/>
    <w:rsid w:val="00652D48"/>
    <w:rsid w:val="00661721"/>
    <w:rsid w:val="00681074"/>
    <w:rsid w:val="006C4705"/>
    <w:rsid w:val="00713E0C"/>
    <w:rsid w:val="00717159"/>
    <w:rsid w:val="007418FD"/>
    <w:rsid w:val="00743031"/>
    <w:rsid w:val="00747F81"/>
    <w:rsid w:val="00755613"/>
    <w:rsid w:val="007678E1"/>
    <w:rsid w:val="007B4728"/>
    <w:rsid w:val="007B706B"/>
    <w:rsid w:val="007C7E06"/>
    <w:rsid w:val="007D0B85"/>
    <w:rsid w:val="007D1368"/>
    <w:rsid w:val="00810B4A"/>
    <w:rsid w:val="00812A91"/>
    <w:rsid w:val="0083107B"/>
    <w:rsid w:val="00857571"/>
    <w:rsid w:val="00885D2B"/>
    <w:rsid w:val="008F6FD5"/>
    <w:rsid w:val="00920237"/>
    <w:rsid w:val="009409C4"/>
    <w:rsid w:val="0094642E"/>
    <w:rsid w:val="00947561"/>
    <w:rsid w:val="00981AC7"/>
    <w:rsid w:val="00990EEB"/>
    <w:rsid w:val="00A11363"/>
    <w:rsid w:val="00A22557"/>
    <w:rsid w:val="00A33E34"/>
    <w:rsid w:val="00A91877"/>
    <w:rsid w:val="00A92ABA"/>
    <w:rsid w:val="00AB1399"/>
    <w:rsid w:val="00AC0EA6"/>
    <w:rsid w:val="00AD1277"/>
    <w:rsid w:val="00AF5288"/>
    <w:rsid w:val="00B54D24"/>
    <w:rsid w:val="00B82B56"/>
    <w:rsid w:val="00B946B7"/>
    <w:rsid w:val="00BA5220"/>
    <w:rsid w:val="00BA5E40"/>
    <w:rsid w:val="00BB249A"/>
    <w:rsid w:val="00BB6945"/>
    <w:rsid w:val="00BC63BE"/>
    <w:rsid w:val="00BC646A"/>
    <w:rsid w:val="00BE27F5"/>
    <w:rsid w:val="00C2051F"/>
    <w:rsid w:val="00C369BB"/>
    <w:rsid w:val="00C44EF3"/>
    <w:rsid w:val="00C64C4B"/>
    <w:rsid w:val="00C75190"/>
    <w:rsid w:val="00C8199F"/>
    <w:rsid w:val="00CA2AC7"/>
    <w:rsid w:val="00CB3593"/>
    <w:rsid w:val="00CC308F"/>
    <w:rsid w:val="00CD257D"/>
    <w:rsid w:val="00D03703"/>
    <w:rsid w:val="00D066CF"/>
    <w:rsid w:val="00D22FD3"/>
    <w:rsid w:val="00D77F55"/>
    <w:rsid w:val="00D8099C"/>
    <w:rsid w:val="00DB129C"/>
    <w:rsid w:val="00DF1112"/>
    <w:rsid w:val="00E274AC"/>
    <w:rsid w:val="00E370A4"/>
    <w:rsid w:val="00E41BB3"/>
    <w:rsid w:val="00E760F4"/>
    <w:rsid w:val="00E87EBB"/>
    <w:rsid w:val="00EC3494"/>
    <w:rsid w:val="00EC46FD"/>
    <w:rsid w:val="00ED6951"/>
    <w:rsid w:val="00F43886"/>
    <w:rsid w:val="00F45A01"/>
    <w:rsid w:val="00F57E98"/>
    <w:rsid w:val="00F644F0"/>
    <w:rsid w:val="00F72E19"/>
    <w:rsid w:val="00FB088F"/>
    <w:rsid w:val="00FC276C"/>
    <w:rsid w:val="00FC2EEC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2B49"/>
  <w15:chartTrackingRefBased/>
  <w15:docId w15:val="{67FB5D59-7669-4E15-B714-DD8F9574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2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2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2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0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0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0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0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0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0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0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0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0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0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04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92ABA"/>
    <w:rPr>
      <w:b/>
      <w:bCs/>
    </w:rPr>
  </w:style>
  <w:style w:type="paragraph" w:styleId="NormalWeb">
    <w:name w:val="Normal (Web)"/>
    <w:basedOn w:val="Normal"/>
    <w:uiPriority w:val="99"/>
    <w:unhideWhenUsed/>
    <w:rsid w:val="00A9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747F81"/>
    <w:pPr>
      <w:spacing w:after="0" w:line="240" w:lineRule="auto"/>
    </w:pPr>
    <w:rPr>
      <w:rFonts w:eastAsiaTheme="minorEastAsia"/>
      <w:kern w:val="0"/>
      <w:sz w:val="22"/>
      <w:szCs w:val="22"/>
      <w:lang w:val="bs-Latn-BA" w:eastAsia="bs-Latn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semiHidden/>
    <w:rsid w:val="00E274A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C4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4\Grafikoni%20za%20GI%202024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2\tabela%20GI%20za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DC-SRV-01\RedirectedFolders\mustafa.serdarevic\My%20Documents\GODISNJI%20IZVJESTAJ%202023\GRAFIKONI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'broj prihvatljivih ponuda'!$C$12</c:f>
              <c:strCache>
                <c:ptCount val="1"/>
                <c:pt idx="0">
                  <c:v>Broj primljenih ponuda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'broj prihvatljivih ponuda'!$B$13:$B$18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sa objavom</c:v>
                </c:pt>
                <c:pt idx="3">
                  <c:v>Pregovarački postupak bez objave</c:v>
                </c:pt>
                <c:pt idx="4">
                  <c:v>Konkurentski zahtjev</c:v>
                </c:pt>
                <c:pt idx="5">
                  <c:v>Ukupno</c:v>
                </c:pt>
              </c:strCache>
            </c:strRef>
          </c:cat>
          <c:val>
            <c:numRef>
              <c:f>'broj prihvatljivih ponuda'!$C$13:$C$18</c:f>
              <c:numCache>
                <c:formatCode>General</c:formatCode>
                <c:ptCount val="6"/>
                <c:pt idx="0">
                  <c:v>2.23</c:v>
                </c:pt>
                <c:pt idx="1">
                  <c:v>1.93</c:v>
                </c:pt>
                <c:pt idx="2">
                  <c:v>1.37</c:v>
                </c:pt>
                <c:pt idx="3">
                  <c:v>1.08</c:v>
                </c:pt>
                <c:pt idx="4">
                  <c:v>1.99</c:v>
                </c:pt>
                <c:pt idx="5">
                  <c:v>2.14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F8-471F-8AD6-B93CE20DC564}"/>
            </c:ext>
          </c:extLst>
        </c:ser>
        <c:ser>
          <c:idx val="1"/>
          <c:order val="1"/>
          <c:tx>
            <c:strRef>
              <c:f>'broj prihvatljivih ponuda'!$D$12</c:f>
              <c:strCache>
                <c:ptCount val="1"/>
                <c:pt idx="0">
                  <c:v>Broj prihvatljivih ponuda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'broj prihvatljivih ponuda'!$B$13:$B$18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sa objavom</c:v>
                </c:pt>
                <c:pt idx="3">
                  <c:v>Pregovarački postupak bez objave</c:v>
                </c:pt>
                <c:pt idx="4">
                  <c:v>Konkurentski zahtjev</c:v>
                </c:pt>
                <c:pt idx="5">
                  <c:v>Ukupno</c:v>
                </c:pt>
              </c:strCache>
            </c:strRef>
          </c:cat>
          <c:val>
            <c:numRef>
              <c:f>'broj prihvatljivih ponuda'!$D$13:$D$18</c:f>
              <c:numCache>
                <c:formatCode>General</c:formatCode>
                <c:ptCount val="6"/>
                <c:pt idx="0">
                  <c:v>2</c:v>
                </c:pt>
                <c:pt idx="1">
                  <c:v>1.82</c:v>
                </c:pt>
                <c:pt idx="2">
                  <c:v>1.34</c:v>
                </c:pt>
                <c:pt idx="3">
                  <c:v>1.04</c:v>
                </c:pt>
                <c:pt idx="4">
                  <c:v>1.82</c:v>
                </c:pt>
                <c:pt idx="5">
                  <c:v>1.93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F8-471F-8AD6-B93CE20DC5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52662824"/>
        <c:axId val="552661512"/>
      </c:barChart>
      <c:catAx>
        <c:axId val="55266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2661512"/>
        <c:crosses val="autoZero"/>
        <c:auto val="1"/>
        <c:lblAlgn val="ctr"/>
        <c:lblOffset val="100"/>
        <c:noMultiLvlLbl val="0"/>
      </c:catAx>
      <c:valAx>
        <c:axId val="5526615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5266282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3344513688278"/>
          <c:y val="0.90279885309826158"/>
          <c:w val="0.51848450696152004"/>
          <c:h val="7.49838618539712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PBO!$B$47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PBO!$C$47:$G$47</c:f>
              <c:numCache>
                <c:formatCode>#,##0.00</c:formatCode>
                <c:ptCount val="5"/>
                <c:pt idx="0">
                  <c:v>383427.39</c:v>
                </c:pt>
                <c:pt idx="1">
                  <c:v>93788801.510000005</c:v>
                </c:pt>
                <c:pt idx="2">
                  <c:v>25584907.32</c:v>
                </c:pt>
                <c:pt idx="3">
                  <c:v>27100</c:v>
                </c:pt>
                <c:pt idx="4">
                  <c:v>119784236.22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82-4A65-B79A-1D798FC758FA}"/>
            </c:ext>
          </c:extLst>
        </c:ser>
        <c:ser>
          <c:idx val="1"/>
          <c:order val="1"/>
          <c:tx>
            <c:strRef>
              <c:f>PBO!$B$48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PBO!$C$48:$G$48</c:f>
              <c:numCache>
                <c:formatCode>#,##0.00</c:formatCode>
                <c:ptCount val="5"/>
                <c:pt idx="0">
                  <c:v>4690459.5</c:v>
                </c:pt>
                <c:pt idx="1">
                  <c:v>44496973.960000001</c:v>
                </c:pt>
                <c:pt idx="2">
                  <c:v>29001665.710000001</c:v>
                </c:pt>
                <c:pt idx="3">
                  <c:v>410426.9</c:v>
                </c:pt>
                <c:pt idx="4">
                  <c:v>78599526.069999993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82-4A65-B79A-1D798FC758FA}"/>
            </c:ext>
          </c:extLst>
        </c:ser>
        <c:ser>
          <c:idx val="2"/>
          <c:order val="2"/>
          <c:tx>
            <c:strRef>
              <c:f>PBO!$B$49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PBO!$C$49:$G$49</c:f>
              <c:numCache>
                <c:formatCode>#,##0.00</c:formatCode>
                <c:ptCount val="5"/>
                <c:pt idx="0">
                  <c:v>1344142.05</c:v>
                </c:pt>
                <c:pt idx="1">
                  <c:v>16998616.010000002</c:v>
                </c:pt>
                <c:pt idx="2">
                  <c:v>89447037.010000005</c:v>
                </c:pt>
                <c:pt idx="3">
                  <c:v>266839.76</c:v>
                </c:pt>
                <c:pt idx="4">
                  <c:v>108056634.83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82-4A65-B79A-1D798FC758FA}"/>
            </c:ext>
          </c:extLst>
        </c:ser>
        <c:ser>
          <c:idx val="3"/>
          <c:order val="3"/>
          <c:tx>
            <c:strRef>
              <c:f>PBO!$B$50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PBO!$C$46:$G$46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PBO!$C$50:$G$50</c:f>
              <c:numCache>
                <c:formatCode>#,##0.00</c:formatCode>
                <c:ptCount val="5"/>
                <c:pt idx="0">
                  <c:v>6418028.9400000004</c:v>
                </c:pt>
                <c:pt idx="1">
                  <c:v>155284391.47999999</c:v>
                </c:pt>
                <c:pt idx="2">
                  <c:v>144033610.03999999</c:v>
                </c:pt>
                <c:pt idx="3">
                  <c:v>704366.66</c:v>
                </c:pt>
                <c:pt idx="4">
                  <c:v>306440397.12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F82-4A65-B79A-1D798FC758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74094144"/>
        <c:axId val="1596400719"/>
      </c:barChart>
      <c:catAx>
        <c:axId val="1474094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96400719"/>
        <c:crosses val="autoZero"/>
        <c:auto val="1"/>
        <c:lblAlgn val="ctr"/>
        <c:lblOffset val="100"/>
        <c:noMultiLvlLbl val="0"/>
      </c:catAx>
      <c:valAx>
        <c:axId val="159640071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4740941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PBO!$B$65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PBO!$C$65:$G$65</c:f>
              <c:numCache>
                <c:formatCode>General</c:formatCode>
                <c:ptCount val="5"/>
                <c:pt idx="0">
                  <c:v>269</c:v>
                </c:pt>
                <c:pt idx="1">
                  <c:v>85</c:v>
                </c:pt>
                <c:pt idx="2">
                  <c:v>62</c:v>
                </c:pt>
                <c:pt idx="3">
                  <c:v>2</c:v>
                </c:pt>
                <c:pt idx="4">
                  <c:v>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3-42C1-B996-F1774FCAA653}"/>
            </c:ext>
          </c:extLst>
        </c:ser>
        <c:ser>
          <c:idx val="1"/>
          <c:order val="1"/>
          <c:tx>
            <c:strRef>
              <c:f>PBO!$B$66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PBO!$C$66:$G$66</c:f>
              <c:numCache>
                <c:formatCode>General</c:formatCode>
                <c:ptCount val="5"/>
                <c:pt idx="0">
                  <c:v>105</c:v>
                </c:pt>
                <c:pt idx="1">
                  <c:v>210</c:v>
                </c:pt>
                <c:pt idx="2">
                  <c:v>169</c:v>
                </c:pt>
                <c:pt idx="3">
                  <c:v>14</c:v>
                </c:pt>
                <c:pt idx="4">
                  <c:v>498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F3-42C1-B996-F1774FCAA653}"/>
            </c:ext>
          </c:extLst>
        </c:ser>
        <c:ser>
          <c:idx val="2"/>
          <c:order val="2"/>
          <c:tx>
            <c:strRef>
              <c:f>PBO!$B$67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PBO!$C$67:$G$67</c:f>
              <c:numCache>
                <c:formatCode>General</c:formatCode>
                <c:ptCount val="5"/>
                <c:pt idx="0">
                  <c:v>17</c:v>
                </c:pt>
                <c:pt idx="1">
                  <c:v>123</c:v>
                </c:pt>
                <c:pt idx="2">
                  <c:v>144</c:v>
                </c:pt>
                <c:pt idx="3">
                  <c:v>4</c:v>
                </c:pt>
                <c:pt idx="4">
                  <c:v>288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F3-42C1-B996-F1774FCAA653}"/>
            </c:ext>
          </c:extLst>
        </c:ser>
        <c:ser>
          <c:idx val="3"/>
          <c:order val="3"/>
          <c:tx>
            <c:strRef>
              <c:f>PBO!$B$68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PBO!$C$64:$G$64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PBO!$C$68:$G$68</c:f>
              <c:numCache>
                <c:formatCode>General</c:formatCode>
                <c:ptCount val="5"/>
                <c:pt idx="0">
                  <c:v>391</c:v>
                </c:pt>
                <c:pt idx="1">
                  <c:v>418</c:v>
                </c:pt>
                <c:pt idx="2">
                  <c:v>375</c:v>
                </c:pt>
                <c:pt idx="3">
                  <c:v>20</c:v>
                </c:pt>
                <c:pt idx="4">
                  <c:v>1204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7F3-42C1-B996-F1774FCAA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1520367"/>
        <c:axId val="1580508319"/>
      </c:barChart>
      <c:catAx>
        <c:axId val="15615203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0508319"/>
        <c:crosses val="autoZero"/>
        <c:auto val="1"/>
        <c:lblAlgn val="ctr"/>
        <c:lblOffset val="100"/>
        <c:noMultiLvlLbl val="0"/>
      </c:catAx>
      <c:valAx>
        <c:axId val="158050831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561520367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'bROJ PRIMLJENIH'!$C$5</c:f>
              <c:strCache>
                <c:ptCount val="1"/>
                <c:pt idx="0">
                  <c:v>Broj primljenih ponuda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'bROJ PRIMLJENIH'!$D$4:$I$4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bez objave obavještenja</c:v>
                </c:pt>
                <c:pt idx="3">
                  <c:v>Pregovarački postupak sa objavom obavještenja</c:v>
                </c:pt>
                <c:pt idx="4">
                  <c:v>Konkurentski zahtjev za dostavu ponuda</c:v>
                </c:pt>
                <c:pt idx="5">
                  <c:v>Ukupno</c:v>
                </c:pt>
              </c:strCache>
            </c:strRef>
          </c:cat>
          <c:val>
            <c:numRef>
              <c:f>'bROJ PRIMLJENIH'!$D$5:$I$5</c:f>
              <c:numCache>
                <c:formatCode>General</c:formatCode>
                <c:ptCount val="6"/>
                <c:pt idx="0" formatCode="#,##0.00">
                  <c:v>1.97</c:v>
                </c:pt>
                <c:pt idx="1">
                  <c:v>1.92</c:v>
                </c:pt>
                <c:pt idx="2">
                  <c:v>1.22</c:v>
                </c:pt>
                <c:pt idx="3">
                  <c:v>1.71</c:v>
                </c:pt>
                <c:pt idx="4">
                  <c:v>1.98</c:v>
                </c:pt>
                <c:pt idx="5" formatCode="#,##0.00">
                  <c:v>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4A-4178-8EAD-22AACD112E21}"/>
            </c:ext>
          </c:extLst>
        </c:ser>
        <c:ser>
          <c:idx val="1"/>
          <c:order val="1"/>
          <c:tx>
            <c:strRef>
              <c:f>'bROJ PRIMLJENIH'!$C$6</c:f>
              <c:strCache>
                <c:ptCount val="1"/>
                <c:pt idx="0">
                  <c:v>Broj prihvatljivih ponuda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'bROJ PRIMLJENIH'!$D$4:$I$4</c:f>
              <c:strCache>
                <c:ptCount val="6"/>
                <c:pt idx="0">
                  <c:v>Otvoreni postupak</c:v>
                </c:pt>
                <c:pt idx="1">
                  <c:v>Ograničeni postupak</c:v>
                </c:pt>
                <c:pt idx="2">
                  <c:v>Pregovarački postupak bez objave obavještenja</c:v>
                </c:pt>
                <c:pt idx="3">
                  <c:v>Pregovarački postupak sa objavom obavještenja</c:v>
                </c:pt>
                <c:pt idx="4">
                  <c:v>Konkurentski zahtjev za dostavu ponuda</c:v>
                </c:pt>
                <c:pt idx="5">
                  <c:v>Ukupno</c:v>
                </c:pt>
              </c:strCache>
            </c:strRef>
          </c:cat>
          <c:val>
            <c:numRef>
              <c:f>'bROJ PRIMLJENIH'!$D$6:$I$6</c:f>
              <c:numCache>
                <c:formatCode>General</c:formatCode>
                <c:ptCount val="6"/>
                <c:pt idx="0" formatCode="#,##0.00">
                  <c:v>1.75</c:v>
                </c:pt>
                <c:pt idx="1">
                  <c:v>1.75</c:v>
                </c:pt>
                <c:pt idx="2">
                  <c:v>1.08</c:v>
                </c:pt>
                <c:pt idx="3">
                  <c:v>1.7</c:v>
                </c:pt>
                <c:pt idx="4">
                  <c:v>1.79</c:v>
                </c:pt>
                <c:pt idx="5">
                  <c:v>1.61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4A-4178-8EAD-22AACD112E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0758527"/>
        <c:axId val="1410749887"/>
      </c:barChart>
      <c:catAx>
        <c:axId val="1410758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10749887"/>
        <c:crosses val="autoZero"/>
        <c:auto val="1"/>
        <c:lblAlgn val="ctr"/>
        <c:lblOffset val="100"/>
        <c:noMultiLvlLbl val="0"/>
      </c:catAx>
      <c:valAx>
        <c:axId val="141074988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4107585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1DC-4DD3-A87F-3AB140C346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1DC-4DD3-A87F-3AB140C346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1DC-4DD3-A87F-3AB140C34673}"/>
              </c:ext>
            </c:extLst>
          </c:dPt>
          <c:dLbls>
            <c:dLbl>
              <c:idx val="0"/>
              <c:layout>
                <c:manualLayout>
                  <c:x val="4.4608923884514332E-2"/>
                  <c:y val="-0.19102398658501021"/>
                </c:manualLayout>
              </c:layout>
              <c:tx>
                <c:rich>
                  <a:bodyPr/>
                  <a:lstStyle/>
                  <a:p>
                    <a:fld id="{1C78395E-FC1F-46E7-B70F-EDE704789F7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FE732904-516E-4D9B-A44D-713EAD54FB3B}" type="VALUE">
                      <a:rPr lang="en-US" baseline="0"/>
                      <a:pPr/>
                      <a:t>[VALUE]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1DC-4DD3-A87F-3AB140C34673}"/>
                </c:ext>
              </c:extLst>
            </c:dLbl>
            <c:dLbl>
              <c:idx val="1"/>
              <c:layout>
                <c:manualLayout>
                  <c:x val="-6.4158355205599329E-2"/>
                  <c:y val="-1.3054461942257218E-2"/>
                </c:manualLayout>
              </c:layout>
              <c:tx>
                <c:rich>
                  <a:bodyPr/>
                  <a:lstStyle/>
                  <a:p>
                    <a:fld id="{EC7362E1-6139-49F8-B949-9860C987EF64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22337C21-ABDB-482A-A370-76F09596556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1DC-4DD3-A87F-3AB140C34673}"/>
                </c:ext>
              </c:extLst>
            </c:dLbl>
            <c:dLbl>
              <c:idx val="2"/>
              <c:layout>
                <c:manualLayout>
                  <c:x val="0.28789020122484688"/>
                  <c:y val="3.0158938466025069E-2"/>
                </c:manualLayout>
              </c:layout>
              <c:tx>
                <c:rich>
                  <a:bodyPr/>
                  <a:lstStyle/>
                  <a:p>
                    <a:fld id="{B18851E5-9453-4705-8D13-0E998BC563C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4E9955A1-DD1B-45B7-A430-4363E50644DA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1DC-4DD3-A87F-3AB140C3467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'UKUPNO SVE'!$C$26:$E$26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'UKUPNO SVE'!$C$27:$E$27</c:f>
              <c:numCache>
                <c:formatCode>#,##0.00</c:formatCode>
                <c:ptCount val="3"/>
                <c:pt idx="0">
                  <c:v>4189815561.2600002</c:v>
                </c:pt>
                <c:pt idx="1">
                  <c:v>355878648.83999997</c:v>
                </c:pt>
                <c:pt idx="2">
                  <c:v>563048155.52999997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DC-4DD3-A87F-3AB140C3467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220-4F96-A81D-2C4DEC52B1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220-4F96-A81D-2C4DEC52B1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220-4F96-A81D-2C4DEC52B100}"/>
              </c:ext>
            </c:extLst>
          </c:dPt>
          <c:dLbls>
            <c:dLbl>
              <c:idx val="0"/>
              <c:layout>
                <c:manualLayout>
                  <c:x val="5.5555555555555455E-2"/>
                  <c:y val="-7.7892325315005728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C0B3A8F-D9BC-40B2-9D36-3274C4DE5ED7}" type="CATEGORYNAME">
                      <a:rPr lang="en-US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  <a:fld id="{AE9C773F-9FA4-440C-AFAD-4B37C50A5DEC}" type="VALUE"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26.76%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28602"/>
                        <a:gd name="adj2" fmla="val 118392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220-4F96-A81D-2C4DEC52B1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74FAFFF3-DE92-4528-8443-B6ABB5F64EB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; </a:t>
                    </a:r>
                    <a:fld id="{21203D3D-B45D-4489-966F-1EA88F8B66AB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; 63.51%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220-4F96-A81D-2C4DEC52B100}"/>
                </c:ext>
              </c:extLst>
            </c:dLbl>
            <c:dLbl>
              <c:idx val="2"/>
              <c:layout>
                <c:manualLayout>
                  <c:x val="-0.16944444444444445"/>
                  <c:y val="3.207331042382589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428D173-5839-4A46-99B6-10DCAE23B94E}" type="CATEGORYNAME">
                      <a:rPr lang="en-US" sz="8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</a:t>
                    </a:r>
                    <a:fld id="{08E4B273-E5CF-448A-A266-BBB961565DBE}" type="VALUE"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sz="80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[VALUE]</a:t>
                    </a:fld>
                    <a:r>
                      <a:rPr lang="en-US" sz="8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; 9.73%</a:t>
                    </a:r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70247"/>
                        <a:gd name="adj2" fmla="val 74495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220-4F96-A81D-2C4DEC52B10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'UKUPNO SVE'!$C$41:$E$41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'UKUPNO SVE'!$C$42:$E$42</c:f>
              <c:numCache>
                <c:formatCode>#,##0</c:formatCode>
                <c:ptCount val="3"/>
                <c:pt idx="0">
                  <c:v>73126</c:v>
                </c:pt>
                <c:pt idx="1">
                  <c:v>173583</c:v>
                </c:pt>
                <c:pt idx="2">
                  <c:v>26585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20-4F96-A81D-2C4DEC52B1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PBO!$B$52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PBO!$C$52:$G$52</c:f>
              <c:numCache>
                <c:formatCode>#,##0.00</c:formatCode>
                <c:ptCount val="5"/>
                <c:pt idx="0">
                  <c:v>1245551.33</c:v>
                </c:pt>
                <c:pt idx="1">
                  <c:v>119065695.34999999</c:v>
                </c:pt>
                <c:pt idx="2">
                  <c:v>24273775.59</c:v>
                </c:pt>
                <c:pt idx="3" formatCode="General">
                  <c:v>0</c:v>
                </c:pt>
                <c:pt idx="4">
                  <c:v>144585022.26999998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E-4560-9C5B-CEC86AB74D71}"/>
            </c:ext>
          </c:extLst>
        </c:ser>
        <c:ser>
          <c:idx val="1"/>
          <c:order val="1"/>
          <c:tx>
            <c:strRef>
              <c:f>PBO!$B$53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PBO!$C$53:$G$53</c:f>
              <c:numCache>
                <c:formatCode>#,##0.00</c:formatCode>
                <c:ptCount val="5"/>
                <c:pt idx="0">
                  <c:v>9984283.4800000004</c:v>
                </c:pt>
                <c:pt idx="1">
                  <c:v>50914521.57</c:v>
                </c:pt>
                <c:pt idx="2">
                  <c:v>25382643.609999999</c:v>
                </c:pt>
                <c:pt idx="3">
                  <c:v>324752.5</c:v>
                </c:pt>
                <c:pt idx="4">
                  <c:v>86606201.159999996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AE-4560-9C5B-CEC86AB74D71}"/>
            </c:ext>
          </c:extLst>
        </c:ser>
        <c:ser>
          <c:idx val="2"/>
          <c:order val="2"/>
          <c:tx>
            <c:strRef>
              <c:f>PBO!$B$54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PBO!$C$54:$G$54</c:f>
              <c:numCache>
                <c:formatCode>#,##0.00</c:formatCode>
                <c:ptCount val="5"/>
                <c:pt idx="0">
                  <c:v>584745.19999999995</c:v>
                </c:pt>
                <c:pt idx="1">
                  <c:v>11558192.189999999</c:v>
                </c:pt>
                <c:pt idx="2">
                  <c:v>17667524.420000002</c:v>
                </c:pt>
                <c:pt idx="3">
                  <c:v>112430.88</c:v>
                </c:pt>
                <c:pt idx="4">
                  <c:v>29922892.690000001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AE-4560-9C5B-CEC86AB74D71}"/>
            </c:ext>
          </c:extLst>
        </c:ser>
        <c:ser>
          <c:idx val="3"/>
          <c:order val="3"/>
          <c:tx>
            <c:strRef>
              <c:f>PBO!$B$55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PBO!$C$51:$G$51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PBO!$C$55:$G$55</c:f>
              <c:numCache>
                <c:formatCode>#,##0.00</c:formatCode>
                <c:ptCount val="5"/>
                <c:pt idx="0">
                  <c:v>11814580.01</c:v>
                </c:pt>
                <c:pt idx="1">
                  <c:v>181538409.10999998</c:v>
                </c:pt>
                <c:pt idx="2">
                  <c:v>67323943.620000005</c:v>
                </c:pt>
                <c:pt idx="3">
                  <c:v>437183.38</c:v>
                </c:pt>
                <c:pt idx="4">
                  <c:v>261114116.11999997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AE-4560-9C5B-CEC86AB74D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3227600"/>
        <c:axId val="1563207440"/>
      </c:barChart>
      <c:catAx>
        <c:axId val="1563227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563207440"/>
        <c:crosses val="autoZero"/>
        <c:auto val="1"/>
        <c:lblAlgn val="ctr"/>
        <c:lblOffset val="100"/>
        <c:noMultiLvlLbl val="0"/>
      </c:catAx>
      <c:valAx>
        <c:axId val="156320744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5632276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PBO!$E$83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PBO!$F$83:$J$83</c:f>
              <c:numCache>
                <c:formatCode>General</c:formatCode>
                <c:ptCount val="5"/>
                <c:pt idx="0">
                  <c:v>725</c:v>
                </c:pt>
                <c:pt idx="1">
                  <c:v>93</c:v>
                </c:pt>
                <c:pt idx="2">
                  <c:v>83</c:v>
                </c:pt>
                <c:pt idx="3">
                  <c:v>0</c:v>
                </c:pt>
                <c:pt idx="4">
                  <c:v>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4-45E4-A27C-E90B2C1F6724}"/>
            </c:ext>
          </c:extLst>
        </c:ser>
        <c:ser>
          <c:idx val="1"/>
          <c:order val="1"/>
          <c:tx>
            <c:strRef>
              <c:f>PBO!$E$84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PBO!$F$84:$J$84</c:f>
              <c:numCache>
                <c:formatCode>General</c:formatCode>
                <c:ptCount val="5"/>
                <c:pt idx="0">
                  <c:v>223</c:v>
                </c:pt>
                <c:pt idx="1">
                  <c:v>260</c:v>
                </c:pt>
                <c:pt idx="2">
                  <c:v>166</c:v>
                </c:pt>
                <c:pt idx="3">
                  <c:v>9</c:v>
                </c:pt>
                <c:pt idx="4">
                  <c:v>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84-45E4-A27C-E90B2C1F6724}"/>
            </c:ext>
          </c:extLst>
        </c:ser>
        <c:ser>
          <c:idx val="2"/>
          <c:order val="2"/>
          <c:tx>
            <c:strRef>
              <c:f>PBO!$E$85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PBO!$F$85:$J$85</c:f>
              <c:numCache>
                <c:formatCode>General</c:formatCode>
                <c:ptCount val="5"/>
                <c:pt idx="0">
                  <c:v>21</c:v>
                </c:pt>
                <c:pt idx="1">
                  <c:v>161</c:v>
                </c:pt>
                <c:pt idx="2">
                  <c:v>106</c:v>
                </c:pt>
                <c:pt idx="3">
                  <c:v>3</c:v>
                </c:pt>
                <c:pt idx="4">
                  <c:v>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84-45E4-A27C-E90B2C1F6724}"/>
            </c:ext>
          </c:extLst>
        </c:ser>
        <c:ser>
          <c:idx val="3"/>
          <c:order val="3"/>
          <c:tx>
            <c:strRef>
              <c:f>PBO!$E$86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PBO!$F$82:$J$82</c:f>
              <c:strCache>
                <c:ptCount val="5"/>
                <c:pt idx="0">
                  <c:v>BIH</c:v>
                </c:pt>
                <c:pt idx="1">
                  <c:v>FBiH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PBO!$F$86:$J$86</c:f>
              <c:numCache>
                <c:formatCode>General</c:formatCode>
                <c:ptCount val="5"/>
                <c:pt idx="0">
                  <c:v>969</c:v>
                </c:pt>
                <c:pt idx="1">
                  <c:v>514</c:v>
                </c:pt>
                <c:pt idx="2">
                  <c:v>355</c:v>
                </c:pt>
                <c:pt idx="3">
                  <c:v>12</c:v>
                </c:pt>
                <c:pt idx="4" formatCode="#,##0">
                  <c:v>1850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84-45E4-A27C-E90B2C1F6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18603680"/>
        <c:axId val="1418598880"/>
      </c:barChart>
      <c:catAx>
        <c:axId val="1418603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418598880"/>
        <c:crosses val="autoZero"/>
        <c:auto val="1"/>
        <c:lblAlgn val="ctr"/>
        <c:lblOffset val="100"/>
        <c:noMultiLvlLbl val="0"/>
      </c:catAx>
      <c:valAx>
        <c:axId val="14185988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418603680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F5-4F39-A558-32F0B18BECA3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F5-4F39-A558-32F0B18BECA3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1F5-4F39-A558-32F0B18BECA3}"/>
              </c:ext>
            </c:extLst>
          </c:dPt>
          <c:dLbls>
            <c:dLbl>
              <c:idx val="0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912A4A57-F450-4E13-89FD-9974F88A0EE0}" type="CATEGORYNAME">
                      <a:rPr lang="en-US" sz="900"/>
                      <a:pPr>
                        <a:defRPr sz="900"/>
                      </a:pPr>
                      <a:t>[CATEGORY NAME]</a:t>
                    </a:fld>
                    <a:r>
                      <a:rPr lang="en-US" sz="900" baseline="0"/>
                      <a:t>, </a:t>
                    </a:r>
                    <a:fld id="{BD023906-7431-432D-BF00-51F0E1BCB15C}" type="VALUE">
                      <a:rPr lang="en-US" sz="900" baseline="0"/>
                      <a:pPr>
                        <a:defRPr sz="900"/>
                      </a:pPr>
                      <a:t>[VALUE]</a:t>
                    </a:fld>
                    <a:r>
                      <a:rPr lang="en-US" sz="900" baseline="0"/>
                      <a:t> 83,93%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1F5-4F39-A558-32F0B18BECA3}"/>
                </c:ext>
              </c:extLst>
            </c:dLbl>
            <c:dLbl>
              <c:idx val="1"/>
              <c:layout>
                <c:manualLayout>
                  <c:x val="-7.7777777777777779E-2"/>
                  <c:y val="0.30092592592592587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E02C48FA-E4D5-4DDB-911F-8792E64786BE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900" baseline="0"/>
                      <a:t>, </a:t>
                    </a:r>
                    <a:fld id="{8E4F0ACF-4427-4683-9E1B-CE0782E3CEE2}" type="VALU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sz="900" baseline="0"/>
                      <a:t>, 7,74%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F5-4F39-A558-32F0B18BECA3}"/>
                </c:ext>
              </c:extLst>
            </c:dLbl>
            <c:dLbl>
              <c:idx val="2"/>
              <c:layout>
                <c:manualLayout>
                  <c:x val="0.42222222222222211"/>
                  <c:y val="0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DE134CEF-023A-4123-A158-35A9F5517796}" type="CATEGORYNAME">
                      <a:rPr lang="en-US" sz="90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900" baseline="0"/>
                      <a:t>, </a:t>
                    </a:r>
                    <a:fld id="{71213517-AFEB-4762-AC33-D84D93B0082A}" type="VALUE">
                      <a:rPr lang="en-US" sz="900" baseline="0"/>
                      <a:pPr>
                        <a:defRPr sz="900"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r>
                      <a:rPr lang="en-US" sz="900" baseline="0"/>
                      <a:t>, 8,33%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1F5-4F39-A558-32F0B18BECA3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Sheet3!$B$2:$D$2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Sheet3!$B$3:$D$3</c:f>
              <c:numCache>
                <c:formatCode>#,##0.00</c:formatCode>
                <c:ptCount val="3"/>
                <c:pt idx="0">
                  <c:v>3701675680.7199998</c:v>
                </c:pt>
                <c:pt idx="1">
                  <c:v>341250763.05000001</c:v>
                </c:pt>
                <c:pt idx="2">
                  <c:v>367315050.73000002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F5-4F39-A558-32F0B18BECA3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01F5-4F39-A558-32F0B18BECA3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01F5-4F39-A558-32F0B18BECA3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01F5-4F39-A558-32F0B18BECA3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8-01F5-4F39-A558-32F0B18BECA3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A-01F5-4F39-A558-32F0B18BECA3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</c:ext>
                <c:ext xmlns:c16="http://schemas.microsoft.com/office/drawing/2014/chart" uri="{C3380CC4-5D6E-409C-BE32-E72D297353CC}">
                  <c16:uniqueId val="{0000000C-01F5-4F39-A558-32F0B18BECA3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Sheet3!$B$2:$D$2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Sheet3!$B$4:$D$4</c:f>
              <c:numCache>
                <c:formatCode>General</c:formatCode>
                <c:ptCount val="3"/>
                <c:pt idx="0">
                  <c:v>83.93</c:v>
                </c:pt>
                <c:pt idx="1">
                  <c:v>7.74</c:v>
                </c:pt>
                <c:pt idx="2">
                  <c:v>8.33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1F5-4F39-A558-32F0B18BECA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462-4E26-AA45-F6C6FFB3A0B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462-4E26-AA45-F6C6FFB3A0B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462-4E26-AA45-F6C6FFB3A0B1}"/>
              </c:ext>
            </c:extLst>
          </c:dPt>
          <c:dLbls>
            <c:dLbl>
              <c:idx val="0"/>
              <c:layout>
                <c:manualLayout>
                  <c:x val="0.11944444444444434"/>
                  <c:y val="-9.2592592592592692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18023F39-B047-4E20-BEFA-B52CD7BF7F87}" type="CATEGORYNAME">
                      <a:rPr lang="en-US" sz="800"/>
                      <a:pPr>
                        <a:defRPr sz="800"/>
                      </a:pPr>
                      <a:t>[CATEGORY NAME]</a:t>
                    </a:fld>
                    <a:r>
                      <a:rPr lang="en-US" sz="800" baseline="0"/>
                      <a:t>
57.169</a:t>
                    </a:r>
                  </a:p>
                  <a:p>
                    <a:pPr>
                      <a:defRPr sz="800"/>
                    </a:pPr>
                    <a:r>
                      <a:rPr lang="en-US" sz="800" baseline="0"/>
                      <a:t>26.46%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462-4E26-AA45-F6C6FFB3A0B1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3DEC0E6-D50B-4984-9ED7-3409CF103CC6}" type="CATEGORYNAME">
                      <a:rPr lang="en-US" sz="800"/>
                      <a:pPr>
                        <a:defRPr sz="8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800" baseline="0"/>
                      <a:t>
133.853</a:t>
                    </a:r>
                  </a:p>
                  <a:p>
                    <a:pPr>
                      <a:defRPr sz="800">
                        <a:solidFill>
                          <a:schemeClr val="accent1"/>
                        </a:solidFill>
                      </a:defRPr>
                    </a:pPr>
                    <a:r>
                      <a:rPr lang="en-US" sz="800" baseline="0"/>
                      <a:t>61.96%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462-4E26-AA45-F6C6FFB3A0B1}"/>
                </c:ext>
              </c:extLst>
            </c:dLbl>
            <c:dLbl>
              <c:idx val="2"/>
              <c:layout>
                <c:manualLayout>
                  <c:x val="-0.14166666666666666"/>
                  <c:y val="3.2407407407407399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5B649578-ED97-40DA-9EB4-C48FD2625378}" type="CATEGORYNAME">
                      <a:rPr lang="en-US" sz="800"/>
                      <a:pPr>
                        <a:defRPr sz="8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en-US" sz="800" baseline="0"/>
                      <a:t>
25.07</a:t>
                    </a:r>
                  </a:p>
                  <a:p>
                    <a:pPr>
                      <a:defRPr sz="800">
                        <a:solidFill>
                          <a:schemeClr val="accent1"/>
                        </a:solidFill>
                      </a:defRPr>
                    </a:pPr>
                    <a:r>
                      <a:rPr lang="en-US" sz="800" baseline="0"/>
                      <a:t>11.58%</a:t>
                    </a:r>
                  </a:p>
                </c:rich>
              </c:tx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5B9BD5"/>
                  </a:solidFill>
                  <a:round/>
                </a:ln>
                <a:effectLst>
                  <a:outerShdw blurRad="50800" dist="38100" dir="2700000" algn="tl" rotWithShape="0">
                    <a:srgbClr val="5B9BD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solidFill>
                      <a:schemeClr val="lt1">
                        <a:alpha val="90000"/>
                      </a:schemeClr>
                    </a:solidFill>
                    <a:ln w="12700" cap="flat" cmpd="sng" algn="ctr">
                      <a:solidFill>
                        <a:schemeClr val="accent1"/>
                      </a:solidFill>
                      <a:round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462-4E26-AA45-F6C6FFB3A0B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accent1"/>
                    </a:solidFill>
                    <a:effectLst/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solidFill>
                    <a:schemeClr val="lt1">
                      <a:alpha val="90000"/>
                    </a:schemeClr>
                  </a:solidFill>
                  <a:ln w="12700" cap="flat" cmpd="sng" algn="ctr">
                    <a:solidFill>
                      <a:schemeClr val="accent1"/>
                    </a:solidFill>
                    <a:round/>
                  </a:ln>
                </c15:spPr>
              </c:ext>
            </c:extLst>
          </c:dLbls>
          <c:cat>
            <c:strRef>
              <c:f>Sheet3!$B$19:$D$19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Sheet3!$B$20:$D$20</c:f>
              <c:numCache>
                <c:formatCode>General</c:formatCode>
                <c:ptCount val="3"/>
                <c:pt idx="0">
                  <c:v>57.168999999999997</c:v>
                </c:pt>
                <c:pt idx="1">
                  <c:v>133.85300000000001</c:v>
                </c:pt>
                <c:pt idx="2">
                  <c:v>25.016999999999999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62-4E26-AA45-F6C6FFB3A0B1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1462-4E26-AA45-F6C6FFB3A0B1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1462-4E26-AA45-F6C6FFB3A0B1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1462-4E26-AA45-F6C6FFB3A0B1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1462-4E26-AA45-F6C6FFB3A0B1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1462-4E26-AA45-F6C6FFB3A0B1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1462-4E26-AA45-F6C6FFB3A0B1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Sheet3!$B$19:$D$19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Sheet3!$B$21:$D$21</c:f>
              <c:numCache>
                <c:formatCode>General</c:formatCode>
                <c:ptCount val="3"/>
                <c:pt idx="0">
                  <c:v>26.46</c:v>
                </c:pt>
                <c:pt idx="1">
                  <c:v>61.96</c:v>
                </c:pt>
                <c:pt idx="2">
                  <c:v>11.58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462-4E26-AA45-F6C6FFB3A0B1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PBO!$B$53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PBO!$C$53:$G$53</c:f>
              <c:numCache>
                <c:formatCode>#,##0.00</c:formatCode>
                <c:ptCount val="5"/>
                <c:pt idx="0">
                  <c:v>2622696.89</c:v>
                </c:pt>
                <c:pt idx="1">
                  <c:v>147812103.58000001</c:v>
                </c:pt>
                <c:pt idx="2">
                  <c:v>43897166.450000003</c:v>
                </c:pt>
                <c:pt idx="3">
                  <c:v>268488.55</c:v>
                </c:pt>
                <c:pt idx="4">
                  <c:v>194600455.47000003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81-46CC-B325-E5BAEC1C196E}"/>
            </c:ext>
          </c:extLst>
        </c:ser>
        <c:ser>
          <c:idx val="1"/>
          <c:order val="1"/>
          <c:tx>
            <c:strRef>
              <c:f>PBO!$B$54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PBO!$C$54:$G$54</c:f>
              <c:numCache>
                <c:formatCode>#,##0.00</c:formatCode>
                <c:ptCount val="5"/>
                <c:pt idx="0">
                  <c:v>1493813.2</c:v>
                </c:pt>
                <c:pt idx="1">
                  <c:v>48048276.030000001</c:v>
                </c:pt>
                <c:pt idx="2">
                  <c:v>24176599.43</c:v>
                </c:pt>
                <c:pt idx="3">
                  <c:v>414090.8</c:v>
                </c:pt>
                <c:pt idx="4">
                  <c:v>74132779.459999993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81-46CC-B325-E5BAEC1C196E}"/>
            </c:ext>
          </c:extLst>
        </c:ser>
        <c:ser>
          <c:idx val="2"/>
          <c:order val="2"/>
          <c:tx>
            <c:strRef>
              <c:f>PBO!$B$55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PBO!$C$55:$G$55</c:f>
              <c:numCache>
                <c:formatCode>#,##0.00</c:formatCode>
                <c:ptCount val="5"/>
                <c:pt idx="0">
                  <c:v>83292.399999999994</c:v>
                </c:pt>
                <c:pt idx="1">
                  <c:v>6949306.5</c:v>
                </c:pt>
                <c:pt idx="2">
                  <c:v>19353871.370000001</c:v>
                </c:pt>
                <c:pt idx="3">
                  <c:v>28867.15</c:v>
                </c:pt>
                <c:pt idx="4">
                  <c:v>26415337.420000002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81-46CC-B325-E5BAEC1C196E}"/>
            </c:ext>
          </c:extLst>
        </c:ser>
        <c:ser>
          <c:idx val="3"/>
          <c:order val="3"/>
          <c:tx>
            <c:strRef>
              <c:f>PBO!$B$56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PBO!$C$52:$G$52</c:f>
              <c:strCache>
                <c:ptCount val="5"/>
                <c:pt idx="0">
                  <c:v>BIH</c:v>
                </c:pt>
                <c:pt idx="2">
                  <c:v>RS</c:v>
                </c:pt>
                <c:pt idx="3">
                  <c:v>BD</c:v>
                </c:pt>
                <c:pt idx="4">
                  <c:v>Ukupno</c:v>
                </c:pt>
              </c:strCache>
            </c:strRef>
          </c:cat>
          <c:val>
            <c:numRef>
              <c:f>PBO!$C$56:$G$56</c:f>
              <c:numCache>
                <c:formatCode>#,##0.00</c:formatCode>
                <c:ptCount val="5"/>
                <c:pt idx="0">
                  <c:v>4199802.49</c:v>
                </c:pt>
                <c:pt idx="1">
                  <c:v>202809686.11000001</c:v>
                </c:pt>
                <c:pt idx="2">
                  <c:v>87427637.25</c:v>
                </c:pt>
                <c:pt idx="3">
                  <c:v>711446.5</c:v>
                </c:pt>
                <c:pt idx="4">
                  <c:v>295148572.35000002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181-46CC-B325-E5BAEC1C19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2666560"/>
        <c:axId val="732662952"/>
      </c:barChart>
      <c:catAx>
        <c:axId val="73266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2662952"/>
        <c:crosses val="autoZero"/>
        <c:auto val="1"/>
        <c:lblAlgn val="ctr"/>
        <c:lblOffset val="100"/>
        <c:noMultiLvlLbl val="0"/>
      </c:catAx>
      <c:valAx>
        <c:axId val="7326629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732666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PBO!$B$59</c:f>
              <c:strCache>
                <c:ptCount val="1"/>
                <c:pt idx="0">
                  <c:v>Robe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PBO!$C$59:$G$59</c:f>
              <c:numCache>
                <c:formatCode>General</c:formatCode>
                <c:ptCount val="5"/>
                <c:pt idx="0">
                  <c:v>64</c:v>
                </c:pt>
                <c:pt idx="1">
                  <c:v>218</c:v>
                </c:pt>
                <c:pt idx="2">
                  <c:v>135</c:v>
                </c:pt>
                <c:pt idx="3">
                  <c:v>2</c:v>
                </c:pt>
                <c:pt idx="4">
                  <c:v>419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7B-48D7-8CF4-68AEA9DCF711}"/>
            </c:ext>
          </c:extLst>
        </c:ser>
        <c:ser>
          <c:idx val="1"/>
          <c:order val="1"/>
          <c:tx>
            <c:strRef>
              <c:f>PBO!$B$60</c:f>
              <c:strCache>
                <c:ptCount val="1"/>
                <c:pt idx="0">
                  <c:v>Usluge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PBO!$C$60:$G$60</c:f>
              <c:numCache>
                <c:formatCode>General</c:formatCode>
                <c:ptCount val="5"/>
                <c:pt idx="0">
                  <c:v>73</c:v>
                </c:pt>
                <c:pt idx="1">
                  <c:v>254</c:v>
                </c:pt>
                <c:pt idx="2">
                  <c:v>199</c:v>
                </c:pt>
                <c:pt idx="3">
                  <c:v>11</c:v>
                </c:pt>
                <c:pt idx="4">
                  <c:v>537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7B-48D7-8CF4-68AEA9DCF711}"/>
            </c:ext>
          </c:extLst>
        </c:ser>
        <c:ser>
          <c:idx val="2"/>
          <c:order val="2"/>
          <c:tx>
            <c:strRef>
              <c:f>PBO!$B$61</c:f>
              <c:strCache>
                <c:ptCount val="1"/>
                <c:pt idx="0">
                  <c:v>Radovi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PBO!$C$61:$G$61</c:f>
              <c:numCache>
                <c:formatCode>General</c:formatCode>
                <c:ptCount val="5"/>
                <c:pt idx="0">
                  <c:v>9</c:v>
                </c:pt>
                <c:pt idx="1">
                  <c:v>96</c:v>
                </c:pt>
                <c:pt idx="2">
                  <c:v>152</c:v>
                </c:pt>
                <c:pt idx="3">
                  <c:v>2</c:v>
                </c:pt>
                <c:pt idx="4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7B-48D7-8CF4-68AEA9DCF711}"/>
            </c:ext>
          </c:extLst>
        </c:ser>
        <c:ser>
          <c:idx val="3"/>
          <c:order val="3"/>
          <c:tx>
            <c:strRef>
              <c:f>PBO!$B$62</c:f>
              <c:strCache>
                <c:ptCount val="1"/>
                <c:pt idx="0">
                  <c:v>Ukupno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val>
            <c:numRef>
              <c:f>PBO!$C$62:$G$62</c:f>
              <c:numCache>
                <c:formatCode>General</c:formatCode>
                <c:ptCount val="5"/>
                <c:pt idx="0">
                  <c:v>146</c:v>
                </c:pt>
                <c:pt idx="1">
                  <c:v>568</c:v>
                </c:pt>
                <c:pt idx="2">
                  <c:v>486</c:v>
                </c:pt>
                <c:pt idx="3">
                  <c:v>15</c:v>
                </c:pt>
                <c:pt idx="4">
                  <c:v>1215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7B-48D7-8CF4-68AEA9DCF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8895104"/>
        <c:axId val="528891824"/>
      </c:barChart>
      <c:catAx>
        <c:axId val="5288951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891824"/>
        <c:crosses val="autoZero"/>
        <c:auto val="1"/>
        <c:lblAlgn val="ctr"/>
        <c:lblOffset val="100"/>
        <c:noMultiLvlLbl val="0"/>
      </c:catAx>
      <c:valAx>
        <c:axId val="5288918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288951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'Primljene i prihvatljive ponude'!$E$4</c:f>
              <c:strCache>
                <c:ptCount val="1"/>
                <c:pt idx="0">
                  <c:v>Broj primljenih ponuda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'Primljene i prihvatljive ponude'!$D$5:$D$11</c:f>
              <c:strCache>
                <c:ptCount val="7"/>
                <c:pt idx="0">
                  <c:v>Otvoreni </c:v>
                </c:pt>
                <c:pt idx="1">
                  <c:v>Ograničeni </c:v>
                </c:pt>
                <c:pt idx="2">
                  <c:v>Pregovarački bez objave</c:v>
                </c:pt>
                <c:pt idx="3">
                  <c:v>Pregovarački sa objavom</c:v>
                </c:pt>
                <c:pt idx="4">
                  <c:v>Takmičarski postupak</c:v>
                </c:pt>
                <c:pt idx="5">
                  <c:v>Konkurentski zahtjev</c:v>
                </c:pt>
                <c:pt idx="6">
                  <c:v>Ukupno</c:v>
                </c:pt>
              </c:strCache>
            </c:strRef>
          </c:cat>
          <c:val>
            <c:numRef>
              <c:f>'Primljene i prihvatljive ponude'!$E$5:$E$11</c:f>
              <c:numCache>
                <c:formatCode>General</c:formatCode>
                <c:ptCount val="7"/>
                <c:pt idx="0">
                  <c:v>1.99</c:v>
                </c:pt>
                <c:pt idx="1">
                  <c:v>1.7</c:v>
                </c:pt>
                <c:pt idx="2">
                  <c:v>1.18</c:v>
                </c:pt>
                <c:pt idx="3">
                  <c:v>1.94</c:v>
                </c:pt>
                <c:pt idx="4">
                  <c:v>1</c:v>
                </c:pt>
                <c:pt idx="5">
                  <c:v>1.94</c:v>
                </c:pt>
                <c:pt idx="6">
                  <c:v>1.62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C4-4F80-9C93-47FFA473FB09}"/>
            </c:ext>
          </c:extLst>
        </c:ser>
        <c:ser>
          <c:idx val="1"/>
          <c:order val="1"/>
          <c:tx>
            <c:strRef>
              <c:f>'Primljene i prihvatljive ponude'!$F$4</c:f>
              <c:strCache>
                <c:ptCount val="1"/>
                <c:pt idx="0">
                  <c:v>Broj prihvatljivih ponuda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'Primljene i prihvatljive ponude'!$D$5:$D$11</c:f>
              <c:strCache>
                <c:ptCount val="7"/>
                <c:pt idx="0">
                  <c:v>Otvoreni </c:v>
                </c:pt>
                <c:pt idx="1">
                  <c:v>Ograničeni </c:v>
                </c:pt>
                <c:pt idx="2">
                  <c:v>Pregovarački bez objave</c:v>
                </c:pt>
                <c:pt idx="3">
                  <c:v>Pregovarački sa objavom</c:v>
                </c:pt>
                <c:pt idx="4">
                  <c:v>Takmičarski postupak</c:v>
                </c:pt>
                <c:pt idx="5">
                  <c:v>Konkurentski zahtjev</c:v>
                </c:pt>
                <c:pt idx="6">
                  <c:v>Ukupno</c:v>
                </c:pt>
              </c:strCache>
            </c:strRef>
          </c:cat>
          <c:val>
            <c:numRef>
              <c:f>'Primljene i prihvatljive ponude'!$F$5:$F$11</c:f>
              <c:numCache>
                <c:formatCode>General</c:formatCode>
                <c:ptCount val="7"/>
                <c:pt idx="0">
                  <c:v>1.74</c:v>
                </c:pt>
                <c:pt idx="1">
                  <c:v>1.53</c:v>
                </c:pt>
                <c:pt idx="2">
                  <c:v>1</c:v>
                </c:pt>
                <c:pt idx="3">
                  <c:v>1.93</c:v>
                </c:pt>
                <c:pt idx="4">
                  <c:v>1</c:v>
                </c:pt>
                <c:pt idx="5">
                  <c:v>1.73</c:v>
                </c:pt>
                <c:pt idx="6">
                  <c:v>1.49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C4-4F80-9C93-47FFA473FB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185135"/>
        <c:axId val="1241183215"/>
      </c:barChart>
      <c:catAx>
        <c:axId val="1241185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1183215"/>
        <c:crosses val="autoZero"/>
        <c:auto val="1"/>
        <c:lblAlgn val="ctr"/>
        <c:lblOffset val="100"/>
        <c:noMultiLvlLbl val="0"/>
      </c:catAx>
      <c:valAx>
        <c:axId val="124118321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4118513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736-4B9E-B02D-9E4900A743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736-4B9E-B02D-9E4900A743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736-4B9E-B02D-9E4900A7434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A29CA2BF-EBAD-4586-AD71-A783224972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2A2CF8CD-8C72-46F7-8119-BA13E6C2EBCD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79.36%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736-4B9E-B02D-9E4900A74343}"/>
                </c:ext>
              </c:extLst>
            </c:dLbl>
            <c:dLbl>
              <c:idx val="1"/>
              <c:layout>
                <c:manualLayout>
                  <c:x val="2.7777777777777779E-3"/>
                  <c:y val="-0.12037037037037036"/>
                </c:manualLayout>
              </c:layout>
              <c:tx>
                <c:rich>
                  <a:bodyPr/>
                  <a:lstStyle/>
                  <a:p>
                    <a:fld id="{10E22EAC-C86A-425B-9647-EB45DDD2989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F9FB954D-9440-48B1-A921-3386EDE6522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6.48%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736-4B9E-B02D-9E4900A74343}"/>
                </c:ext>
              </c:extLst>
            </c:dLbl>
            <c:dLbl>
              <c:idx val="2"/>
              <c:layout>
                <c:manualLayout>
                  <c:x val="0.52500000000000002"/>
                  <c:y val="0"/>
                </c:manualLayout>
              </c:layout>
              <c:tx>
                <c:rich>
                  <a:bodyPr/>
                  <a:lstStyle/>
                  <a:p>
                    <a:fld id="{392699C2-730F-48E0-9540-2321A491A9D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253F07FD-9F27-449C-8F20-2AC4CA4D0F1C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, 14.16%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736-4B9E-B02D-9E4900A7434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'I+V +Aneks V'!$D$9:$F$9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'I+V +Aneks V'!$D$10:$F$10</c:f>
              <c:numCache>
                <c:formatCode>#,##0.00</c:formatCode>
                <c:ptCount val="3"/>
                <c:pt idx="0">
                  <c:v>4015518672.6399999</c:v>
                </c:pt>
                <c:pt idx="1">
                  <c:v>328139437.19999999</c:v>
                </c:pt>
                <c:pt idx="2">
                  <c:v>716474015.76999998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36-4B9E-B02D-9E4900A743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2D2-453D-8285-BB7370FAD7B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2D2-453D-8285-BB7370FAD7B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2D2-453D-8285-BB7370FAD7B6}"/>
              </c:ext>
            </c:extLst>
          </c:dPt>
          <c:dLbls>
            <c:dLbl>
              <c:idx val="0"/>
              <c:layout>
                <c:manualLayout>
                  <c:x val="8.8888888888888781E-2"/>
                  <c:y val="-2.3148148148148157E-2"/>
                </c:manualLayout>
              </c:layout>
              <c:tx>
                <c:rich>
                  <a:bodyPr/>
                  <a:lstStyle/>
                  <a:p>
                    <a:fld id="{9833EEB3-9D82-4B06-99D7-72C578FE8A3B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27AA7AF-B144-4BAF-BAF3-E7AD9214D172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
26,86%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2D2-453D-8285-BB7370FAD7B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FCB7CA3-6D65-4920-8F2F-8592A012CBA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08F6E686-C722-4B21-BC7F-190264E7E2B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0
63,50%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2D2-453D-8285-BB7370FAD7B6}"/>
                </c:ext>
              </c:extLst>
            </c:dLbl>
            <c:dLbl>
              <c:idx val="2"/>
              <c:layout>
                <c:manualLayout>
                  <c:x val="-0.19722222222222224"/>
                  <c:y val="-4.6296296296296302E-3"/>
                </c:manualLayout>
              </c:layout>
              <c:tx>
                <c:rich>
                  <a:bodyPr/>
                  <a:lstStyle/>
                  <a:p>
                    <a:fld id="{E3F49B3D-BCC3-4787-A93A-C8C4F202F2D3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90999BF7-2A82-4CCF-80E0-544328E6C990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
9,64%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2D2-453D-8285-BB7370FAD7B6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'I+V +Aneks V'!$E$48:$G$48</c:f>
              <c:strCache>
                <c:ptCount val="3"/>
                <c:pt idx="0">
                  <c:v>Poglavlje I</c:v>
                </c:pt>
                <c:pt idx="1">
                  <c:v>Poglavlje V</c:v>
                </c:pt>
                <c:pt idx="2">
                  <c:v>Aneks II</c:v>
                </c:pt>
              </c:strCache>
            </c:strRef>
          </c:cat>
          <c:val>
            <c:numRef>
              <c:f>'I+V +Aneks V'!$E$49:$G$49</c:f>
              <c:numCache>
                <c:formatCode>#,##0.00</c:formatCode>
                <c:ptCount val="3"/>
                <c:pt idx="0" formatCode="General">
                  <c:v>65.506</c:v>
                </c:pt>
                <c:pt idx="1">
                  <c:v>154.84</c:v>
                </c:pt>
                <c:pt idx="2" formatCode="General">
                  <c:v>23.513999999999999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2D2-453D-8285-BB7370FAD7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PBO!$J$7:$J$14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1C-4B02-8B3D-556103BD7887}"/>
            </c:ext>
          </c:extLst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4333333333333338E-2"/>
                  <c:y val="-0.152777777777777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1C-4B02-8B3D-556103BD7887}"/>
                </c:ext>
              </c:extLst>
            </c:dLbl>
            <c:dLbl>
              <c:idx val="1"/>
              <c:layout>
                <c:manualLayout>
                  <c:x val="-6.933333333333333E-2"/>
                  <c:y val="0.143518518518518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1C-4B02-8B3D-556103BD7887}"/>
                </c:ext>
              </c:extLst>
            </c:dLbl>
            <c:dLbl>
              <c:idx val="2"/>
              <c:layout>
                <c:manualLayout>
                  <c:x val="-0.14155555555555557"/>
                  <c:y val="-6.48148148148148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1C-4B02-8B3D-556103BD7887}"/>
                </c:ext>
              </c:extLst>
            </c:dLbl>
            <c:dLbl>
              <c:idx val="3"/>
              <c:layout>
                <c:manualLayout>
                  <c:x val="-3.0444444444444545E-2"/>
                  <c:y val="-8.33333333333333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1C-4B02-8B3D-556103BD7887}"/>
                </c:ext>
              </c:extLst>
            </c:dLbl>
            <c:dLbl>
              <c:idx val="4"/>
              <c:layout>
                <c:manualLayout>
                  <c:x val="-8.5999999999999896E-2"/>
                  <c:y val="0.13888888888888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1C-4B02-8B3D-556103BD7887}"/>
                </c:ext>
              </c:extLst>
            </c:dLbl>
            <c:dLbl>
              <c:idx val="5"/>
              <c:layout>
                <c:manualLayout>
                  <c:x val="-0.10266666666666677"/>
                  <c:y val="-8.3333333333333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1C-4B02-8B3D-556103BD7887}"/>
                </c:ext>
              </c:extLst>
            </c:dLbl>
            <c:dLbl>
              <c:idx val="6"/>
              <c:layout>
                <c:manualLayout>
                  <c:x val="-0.10266666666666677"/>
                  <c:y val="8.79629629629629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1C-4B02-8B3D-556103BD7887}"/>
                </c:ext>
              </c:extLst>
            </c:dLbl>
            <c:dLbl>
              <c:idx val="7"/>
              <c:layout>
                <c:manualLayout>
                  <c:x val="-1.8471128608923886E-3"/>
                  <c:y val="-0.1064814814814814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41C-4B02-8B3D-556103BD78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PBO!$K$7:$K$14</c:f>
              <c:numCache>
                <c:formatCode>#,##0.00</c:formatCode>
                <c:ptCount val="8"/>
                <c:pt idx="0">
                  <c:v>258524825.74000001</c:v>
                </c:pt>
                <c:pt idx="1">
                  <c:v>203338964.90000001</c:v>
                </c:pt>
                <c:pt idx="2">
                  <c:v>353251217.74000001</c:v>
                </c:pt>
                <c:pt idx="3">
                  <c:v>243080586.16999999</c:v>
                </c:pt>
                <c:pt idx="4">
                  <c:v>191570726.30000001</c:v>
                </c:pt>
                <c:pt idx="5">
                  <c:v>332759567.88999999</c:v>
                </c:pt>
                <c:pt idx="6">
                  <c:v>295148572.35000002</c:v>
                </c:pt>
                <c:pt idx="7">
                  <c:v>306440397.12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41C-4B02-8B3D-556103BD788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7357487"/>
        <c:axId val="1092296351"/>
      </c:lineChart>
      <c:catAx>
        <c:axId val="99735748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2296351"/>
        <c:crosses val="autoZero"/>
        <c:auto val="1"/>
        <c:lblAlgn val="ctr"/>
        <c:lblOffset val="100"/>
        <c:noMultiLvlLbl val="0"/>
      </c:catAx>
      <c:valAx>
        <c:axId val="109229635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crossAx val="9973574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7921</Words>
  <Characters>50580</Characters>
  <Application>Microsoft Office Word</Application>
  <DocSecurity>0</DocSecurity>
  <Lines>1386</Lines>
  <Paragraphs>945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Džozlić-Čusto</dc:creator>
  <cp:keywords/>
  <dc:description/>
  <cp:lastModifiedBy>Dario Kihli</cp:lastModifiedBy>
  <cp:revision>4</cp:revision>
  <cp:lastPrinted>2025-12-02T09:25:00Z</cp:lastPrinted>
  <dcterms:created xsi:type="dcterms:W3CDTF">2026-03-19T11:36:00Z</dcterms:created>
  <dcterms:modified xsi:type="dcterms:W3CDTF">2026-03-30T08:58:00Z</dcterms:modified>
</cp:coreProperties>
</file>